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10bis</w:t>
      </w:r>
      <w:r>
        <w:rPr>
          <w:rFonts w:hint="eastAsia" w:ascii="Arial" w:hAnsi="Arial" w:cs="Arial"/>
          <w:b/>
          <w:sz w:val="24"/>
          <w:szCs w:val="24"/>
        </w:rPr>
        <w:t xml:space="preserve">                              R4-2405620</w:t>
      </w:r>
      <w:bookmarkStart w:id="5" w:name="_GoBack"/>
      <w:bookmarkEnd w:id="5"/>
      <w:r>
        <w:rPr>
          <w:rFonts w:hint="eastAsia" w:ascii="Arial" w:hAnsi="Arial" w:cs="Arial"/>
          <w:b/>
          <w:sz w:val="24"/>
          <w:szCs w:val="24"/>
        </w:rPr>
        <w:t xml:space="preserve">                        </w:t>
      </w:r>
    </w:p>
    <w:p>
      <w:pPr>
        <w:tabs>
          <w:tab w:val="left" w:pos="1985"/>
        </w:tabs>
        <w:spacing w:after="180"/>
        <w:ind w:left="1980" w:hanging="1980"/>
        <w:rPr>
          <w:rFonts w:hint="eastAsia" w:ascii="Arial" w:hAnsi="Arial" w:eastAsia="宋体" w:cs="Arial"/>
          <w:b/>
          <w:sz w:val="24"/>
          <w:szCs w:val="24"/>
          <w:lang w:eastAsia="zh-CN"/>
        </w:rPr>
      </w:pPr>
      <w:r>
        <w:rPr>
          <w:rFonts w:ascii="Arial" w:hAnsi="Arial" w:eastAsia="宋体" w:cs="Arial"/>
          <w:b/>
          <w:sz w:val="24"/>
          <w:szCs w:val="24"/>
          <w:lang w:eastAsia="zh-CN"/>
        </w:rPr>
        <w:t>Changsha, China</w:t>
      </w:r>
      <w:r>
        <w:rPr>
          <w:rFonts w:hint="eastAsia" w:ascii="Arial" w:hAnsi="Arial" w:cs="Arial"/>
          <w:b/>
          <w:sz w:val="24"/>
          <w:szCs w:val="24"/>
          <w:lang w:eastAsia="en-US"/>
        </w:rPr>
        <w:t>,</w:t>
      </w:r>
      <w:r>
        <w:rPr>
          <w:rFonts w:hint="eastAsia" w:ascii="Arial" w:hAnsi="Arial" w:cs="Arial"/>
          <w:b/>
          <w:sz w:val="24"/>
          <w:szCs w:val="24"/>
        </w:rPr>
        <w:t xml:space="preserve"> </w:t>
      </w:r>
      <w:r>
        <w:rPr>
          <w:rFonts w:ascii="Arial" w:hAnsi="Arial" w:eastAsia="宋体" w:cs="Arial"/>
          <w:b/>
          <w:sz w:val="24"/>
          <w:szCs w:val="24"/>
          <w:lang w:eastAsia="zh-CN"/>
        </w:rPr>
        <w:t>15</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April</w:t>
      </w:r>
      <w:r>
        <w:rPr>
          <w:rFonts w:hint="eastAsia" w:ascii="Arial" w:hAnsi="Arial" w:cs="Arial"/>
          <w:b/>
          <w:sz w:val="24"/>
          <w:szCs w:val="24"/>
        </w:rPr>
        <w:t>, 202</w:t>
      </w:r>
      <w:r>
        <w:rPr>
          <w:rFonts w:hint="eastAsia" w:ascii="Arial" w:hAnsi="Arial" w:cs="Arial"/>
          <w:b/>
          <w:sz w:val="24"/>
          <w:szCs w:val="24"/>
          <w:lang w:val="en-US" w:eastAsia="zh-CN"/>
        </w:rPr>
        <w:t>4</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9.13.2</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MS Mincho" w:cs="Arial"/>
          <w:b/>
          <w:sz w:val="24"/>
          <w:szCs w:val="24"/>
          <w:lang w:val="en-US" w:eastAsia="zh-CN"/>
        </w:rPr>
        <w:t>Discussion on c</w:t>
      </w:r>
      <w:r>
        <w:rPr>
          <w:rFonts w:ascii="Arial" w:hAnsi="Arial" w:eastAsia="MS Mincho" w:cs="Arial"/>
          <w:b/>
          <w:sz w:val="24"/>
          <w:szCs w:val="24"/>
          <w:lang w:eastAsia="en-US"/>
        </w:rPr>
        <w:t>o-existence study for ambient IoT and NR/LTE</w:t>
      </w:r>
      <w:r>
        <w:rPr>
          <w:rFonts w:hint="eastAsia" w:ascii="Arial" w:hAnsi="Arial" w:eastAsia="MS Mincho" w:cs="Arial"/>
          <w:b/>
          <w:sz w:val="24"/>
          <w:szCs w:val="24"/>
          <w:lang w:val="en-US" w:eastAsia="en-US"/>
        </w:rPr>
        <w:t xml:space="preserve"> </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8"/>
        <w:tabs>
          <w:tab w:val="left" w:pos="567"/>
          <w:tab w:val="clear" w:pos="1985"/>
        </w:tabs>
        <w:adjustRightInd w:val="0"/>
        <w:ind w:left="510" w:hanging="510"/>
      </w:pPr>
      <w:r>
        <w:t>Introduction</w:t>
      </w:r>
    </w:p>
    <w:p>
      <w:pPr>
        <w:tabs>
          <w:tab w:val="left" w:pos="2127"/>
        </w:tabs>
        <w:spacing w:after="0"/>
        <w:rPr>
          <w:rFonts w:hint="default" w:eastAsia="宋体"/>
          <w:lang w:val="en-US" w:eastAsia="zh-CN"/>
        </w:rPr>
      </w:pPr>
      <w:r>
        <w:rPr>
          <w:rFonts w:hint="eastAsia"/>
          <w:lang w:val="en-US" w:eastAsia="zh-CN"/>
        </w:rPr>
        <w:t xml:space="preserve">In the RAN#102 meeting, </w:t>
      </w:r>
      <w:r>
        <w:rPr>
          <w:rFonts w:hint="eastAsia"/>
          <w:sz w:val="20"/>
          <w:szCs w:val="20"/>
          <w:lang w:val="en-US" w:eastAsia="zh-CN"/>
        </w:rPr>
        <w:t>Study on solutions for Ambient IoT (Internet of Things) in NR</w:t>
      </w:r>
      <w:r>
        <w:rPr>
          <w:rFonts w:hint="eastAsia"/>
          <w:lang w:val="en-US" w:eastAsia="zh-CN"/>
        </w:rPr>
        <w:t xml:space="preserve"> has been approved and it</w:t>
      </w:r>
      <w:r>
        <w:rPr>
          <w:rFonts w:hint="default"/>
          <w:lang w:val="en-US" w:eastAsia="zh-CN"/>
        </w:rPr>
        <w:t>’</w:t>
      </w:r>
      <w:r>
        <w:rPr>
          <w:rFonts w:hint="eastAsia"/>
          <w:lang w:val="en-US" w:eastAsia="zh-CN"/>
        </w:rPr>
        <w:t xml:space="preserve">s expected to start the normative work from this April meeting. In this contribution, we would like to share some initial views on the coexistence study and RF requirements for A-IoT system. </w:t>
      </w:r>
    </w:p>
    <w:p>
      <w:pPr>
        <w:pStyle w:val="58"/>
        <w:tabs>
          <w:tab w:val="left" w:pos="567"/>
          <w:tab w:val="clear" w:pos="1985"/>
        </w:tabs>
        <w:adjustRightInd w:val="0"/>
        <w:ind w:left="510" w:hanging="510"/>
        <w:rPr>
          <w:rFonts w:eastAsia="Times New Roman"/>
        </w:rPr>
      </w:pPr>
      <w:bookmarkStart w:id="1" w:name="OLE_LINK10"/>
      <w:bookmarkStart w:id="2" w:name="OLE_LINK13"/>
      <w:bookmarkStart w:id="3" w:name="OLE_LINK20"/>
      <w:bookmarkStart w:id="4" w:name="OLE_LINK14"/>
      <w:r>
        <w:rPr>
          <w:rFonts w:hint="eastAsia"/>
          <w:lang w:val="en-US" w:eastAsia="zh-CN"/>
        </w:rPr>
        <w:t>Discussion</w:t>
      </w:r>
      <w:r>
        <w:rPr>
          <w:rFonts w:hint="eastAsia" w:eastAsia="Times New Roman"/>
        </w:rPr>
        <w:t xml:space="preserve"> </w:t>
      </w:r>
    </w:p>
    <w:p>
      <w:pPr>
        <w:pStyle w:val="58"/>
        <w:keepNext/>
        <w:keepLines/>
        <w:pageBreakBefore w:val="0"/>
        <w:widowControl/>
        <w:numPr>
          <w:ilvl w:val="0"/>
          <w:numId w:val="0"/>
        </w:numP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hint="eastAsia"/>
          <w:sz w:val="28"/>
          <w:szCs w:val="28"/>
          <w:lang w:val="en-US" w:eastAsia="zh-CN"/>
        </w:rPr>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p>
    <w:p>
      <w:pPr>
        <w:pStyle w:val="58"/>
        <w:keepNext/>
        <w:keepLines/>
        <w:pageBreakBefore w:val="0"/>
        <w:widowControl/>
        <w:numPr>
          <w:ilvl w:val="0"/>
          <w:numId w:val="0"/>
        </w:numPr>
        <w:pBdr>
          <w:top w:val="none" w:color="auto" w:sz="0" w:space="1"/>
          <w:left w:val="none" w:color="auto" w:sz="0" w:space="0"/>
          <w:bottom w:val="none" w:color="auto" w:sz="0" w:space="0"/>
          <w:right w:val="none" w:color="auto" w:sz="0" w:space="0"/>
          <w:between w:val="none" w:color="auto" w:sz="0" w:space="0"/>
        </w:pBd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eastAsia="Times New Roman"/>
          <w:sz w:val="28"/>
          <w:szCs w:val="28"/>
        </w:rPr>
      </w:pPr>
      <w:r>
        <w:rPr>
          <w:rFonts w:hint="eastAsia"/>
          <w:sz w:val="28"/>
          <w:szCs w:val="28"/>
          <w:lang w:val="en-US" w:eastAsia="zh-CN"/>
        </w:rPr>
        <w:t xml:space="preserve">2.1. Discussion on Topology 1 and 2 </w:t>
      </w:r>
    </w:p>
    <w:p>
      <w:pPr>
        <w:tabs>
          <w:tab w:val="left" w:pos="2127"/>
        </w:tabs>
        <w:spacing w:after="0"/>
        <w:rPr>
          <w:rFonts w:hint="eastAsia"/>
          <w:lang w:val="en-US" w:eastAsia="zh-CN"/>
        </w:rPr>
      </w:pPr>
      <w:r>
        <w:rPr>
          <w:rFonts w:hint="eastAsia"/>
          <w:lang w:val="en-US" w:eastAsia="zh-CN"/>
        </w:rPr>
        <w:t>According to the SID objective and latest agreement reached in the previous RAN1 meeting, the A-IoT deployment could be categorized into the following two main scenarios:</w:t>
      </w:r>
    </w:p>
    <w:p>
      <w:pPr>
        <w:numPr>
          <w:ilvl w:val="0"/>
          <w:numId w:val="2"/>
        </w:numPr>
        <w:tabs>
          <w:tab w:val="left" w:pos="2127"/>
        </w:tabs>
        <w:spacing w:after="0"/>
        <w:rPr>
          <w:rFonts w:hint="default"/>
          <w:lang w:val="en-US" w:eastAsia="zh-CN"/>
        </w:rPr>
      </w:pPr>
      <w:r>
        <w:rPr>
          <w:rFonts w:hint="eastAsia"/>
          <w:lang w:val="en-US" w:eastAsia="zh-CN"/>
        </w:rPr>
        <w:t xml:space="preserve"> Topology 1 includes the following cases e..g. Case 1-1, Case 1-2 and Case 1-4. The deployment layout is depicted in the following figure 1-3 according to the latest agreement reached in last RAN1 meeting. </w:t>
      </w:r>
    </w:p>
    <w:p>
      <w:pPr>
        <w:numPr>
          <w:ilvl w:val="0"/>
          <w:numId w:val="0"/>
        </w:numPr>
        <w:tabs>
          <w:tab w:val="left" w:pos="2127"/>
        </w:tabs>
        <w:spacing w:after="0"/>
        <w:rPr>
          <w:rFonts w:hint="eastAsia"/>
          <w:lang w:val="en-US" w:eastAsia="zh-CN"/>
        </w:rPr>
      </w:pPr>
      <w:r>
        <w:rPr>
          <w:rFonts w:hint="eastAsia"/>
          <w:lang w:val="en-US" w:eastAsia="zh-CN"/>
        </w:rPr>
        <w:t>NOTE 1: This topology includes the possibility that the BS transmitting to the Ambient IoT device is a different from the BS receiving from the Ambient IoT device.</w:t>
      </w:r>
    </w:p>
    <w:p>
      <w:pPr>
        <w:numPr>
          <w:ilvl w:val="0"/>
          <w:numId w:val="0"/>
        </w:numPr>
        <w:tabs>
          <w:tab w:val="left" w:pos="2127"/>
        </w:tabs>
        <w:spacing w:after="0"/>
        <w:rPr>
          <w:rFonts w:hint="default"/>
          <w:lang w:val="en-US" w:eastAsia="zh-CN"/>
        </w:rPr>
      </w:pPr>
      <w:r>
        <w:rPr>
          <w:rFonts w:hint="eastAsia"/>
          <w:lang w:val="en-US" w:eastAsia="zh-CN"/>
        </w:rPr>
        <w:t xml:space="preserve">NOTE 2: the DL/UL spectrum used for inventory command is not decided yet. </w:t>
      </w:r>
    </w:p>
    <w:p>
      <w:pPr>
        <w:keepNext w:val="0"/>
        <w:keepLines w:val="0"/>
        <w:widowControl/>
        <w:suppressLineNumbers w:val="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5781040" cy="1130935"/>
            <wp:effectExtent l="0" t="0" r="0" b="12065"/>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7"/>
                    <a:stretch>
                      <a:fillRect/>
                    </a:stretch>
                  </pic:blipFill>
                  <pic:spPr>
                    <a:xfrm>
                      <a:off x="0" y="0"/>
                      <a:ext cx="5781040" cy="1130935"/>
                    </a:xfrm>
                    <a:prstGeom prst="rect">
                      <a:avLst/>
                    </a:prstGeom>
                    <a:noFill/>
                    <a:ln w="9525">
                      <a:noFill/>
                    </a:ln>
                  </pic:spPr>
                </pic:pic>
              </a:graphicData>
            </a:graphic>
          </wp:inline>
        </w:drawing>
      </w:r>
    </w:p>
    <w:p>
      <w:pPr>
        <w:numPr>
          <w:ilvl w:val="0"/>
          <w:numId w:val="0"/>
        </w:numPr>
        <w:tabs>
          <w:tab w:val="left" w:pos="2127"/>
        </w:tabs>
        <w:spacing w:after="0"/>
        <w:jc w:val="center"/>
        <w:rPr>
          <w:rFonts w:hint="eastAsia"/>
          <w:lang w:val="en-US" w:eastAsia="zh-CN"/>
        </w:rPr>
      </w:pPr>
      <w:r>
        <w:rPr>
          <w:rFonts w:hint="eastAsia"/>
          <w:lang w:val="en-US" w:eastAsia="zh-CN"/>
        </w:rPr>
        <w:t>Figure 1. the illustration of Case 1-1 topology and its transmission signal</w:t>
      </w:r>
    </w:p>
    <w:p>
      <w:pPr>
        <w:numPr>
          <w:ilvl w:val="0"/>
          <w:numId w:val="0"/>
        </w:numPr>
        <w:tabs>
          <w:tab w:val="left" w:pos="2127"/>
        </w:tabs>
        <w:spacing w:after="0"/>
        <w:jc w:val="both"/>
        <w:rPr>
          <w:rFonts w:hint="eastAsia"/>
          <w:color w:val="auto"/>
          <w:lang w:val="en-US" w:eastAsia="zh-CN"/>
        </w:rPr>
      </w:pPr>
      <w:r>
        <w:rPr>
          <w:rFonts w:hint="eastAsia"/>
          <w:color w:val="auto"/>
          <w:lang w:val="en-US" w:eastAsia="zh-CN"/>
        </w:rPr>
        <w:t xml:space="preserve">For the Case 1-1 with CW signal and backscattering signal transmitted in the DL direction, this will cause additional type of interference (e.g. CW signal, </w:t>
      </w:r>
      <w:r>
        <w:rPr>
          <w:color w:val="auto"/>
          <w:szCs w:val="20"/>
        </w:rPr>
        <w:t>single-tone unmodulated sinusoid waveform</w:t>
      </w:r>
      <w:r>
        <w:rPr>
          <w:rFonts w:hint="eastAsia"/>
          <w:color w:val="auto"/>
          <w:szCs w:val="20"/>
          <w:lang w:val="en-US" w:eastAsia="zh-CN"/>
        </w:rPr>
        <w:t xml:space="preserve"> or </w:t>
      </w:r>
      <w:r>
        <w:rPr>
          <w:bCs/>
          <w:color w:val="auto"/>
          <w:szCs w:val="20"/>
        </w:rPr>
        <w:t>multi-tone waveforms</w:t>
      </w:r>
      <w:r>
        <w:rPr>
          <w:rFonts w:hint="eastAsia"/>
          <w:bCs/>
          <w:color w:val="auto"/>
          <w:szCs w:val="20"/>
          <w:lang w:val="en-US" w:eastAsia="zh-CN"/>
        </w:rPr>
        <w:t xml:space="preserve"> for backscattering signal</w:t>
      </w:r>
      <w:r>
        <w:rPr>
          <w:rFonts w:hint="eastAsia"/>
          <w:color w:val="auto"/>
          <w:lang w:val="en-US" w:eastAsia="zh-CN"/>
        </w:rPr>
        <w:t>) to the legacy UEs when A-IoT is operating under the in-band/guard band mode. Additionally, there would be some CLI problems from the legacy BS towards A-IoT BS receiver and also self interference within A-IoT BS. Based on this consideration, Case 1-1 could be deprioritized from its impacts on the legacy UE or BS CLI problems unless these problems could be well addressed.</w:t>
      </w:r>
    </w:p>
    <w:p>
      <w:pPr>
        <w:numPr>
          <w:ilvl w:val="0"/>
          <w:numId w:val="0"/>
        </w:numPr>
        <w:tabs>
          <w:tab w:val="left" w:pos="2127"/>
        </w:tabs>
        <w:spacing w:after="0"/>
        <w:jc w:val="both"/>
        <w:rPr>
          <w:rFonts w:hint="default"/>
          <w:color w:val="auto"/>
          <w:lang w:val="en-US" w:eastAsia="zh-CN"/>
        </w:rPr>
      </w:pPr>
      <w:r>
        <w:rPr>
          <w:rFonts w:hint="eastAsia"/>
          <w:b/>
          <w:bCs/>
          <w:color w:val="auto"/>
          <w:lang w:val="en-US" w:eastAsia="zh-CN"/>
        </w:rPr>
        <w:t>Proposal 1</w:t>
      </w:r>
      <w:r>
        <w:rPr>
          <w:rFonts w:hint="eastAsia"/>
          <w:color w:val="auto"/>
          <w:lang w:val="en-US" w:eastAsia="zh-CN"/>
        </w:rPr>
        <w:t>: deprioritize Case 1-1 in the topology 1 considering its impacts on the legacy UE or BS CLI problems at A-IoT BS receiver unless these problems could be well addressed.</w:t>
      </w:r>
    </w:p>
    <w:p>
      <w:pPr>
        <w:keepNext w:val="0"/>
        <w:keepLines w:val="0"/>
        <w:widowControl/>
        <w:suppressLineNumbers w:val="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5652770" cy="1092835"/>
            <wp:effectExtent l="0" t="0" r="0" b="12065"/>
            <wp:docPr id="3"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6"/>
                    <pic:cNvPicPr>
                      <a:picLocks noChangeAspect="1"/>
                    </pic:cNvPicPr>
                  </pic:nvPicPr>
                  <pic:blipFill>
                    <a:blip r:embed="rId8"/>
                    <a:stretch>
                      <a:fillRect/>
                    </a:stretch>
                  </pic:blipFill>
                  <pic:spPr>
                    <a:xfrm>
                      <a:off x="0" y="0"/>
                      <a:ext cx="5652770" cy="1092835"/>
                    </a:xfrm>
                    <a:prstGeom prst="rect">
                      <a:avLst/>
                    </a:prstGeom>
                    <a:noFill/>
                    <a:ln w="9525">
                      <a:noFill/>
                    </a:ln>
                  </pic:spPr>
                </pic:pic>
              </a:graphicData>
            </a:graphic>
          </wp:inline>
        </w:drawing>
      </w:r>
    </w:p>
    <w:p>
      <w:pPr>
        <w:numPr>
          <w:ilvl w:val="0"/>
          <w:numId w:val="0"/>
        </w:numPr>
        <w:tabs>
          <w:tab w:val="left" w:pos="2127"/>
        </w:tabs>
        <w:spacing w:after="0"/>
        <w:jc w:val="center"/>
        <w:rPr>
          <w:rFonts w:hint="eastAsia"/>
          <w:lang w:val="en-US" w:eastAsia="zh-CN"/>
        </w:rPr>
      </w:pPr>
      <w:r>
        <w:rPr>
          <w:rFonts w:hint="eastAsia"/>
          <w:lang w:val="en-US" w:eastAsia="zh-CN"/>
        </w:rPr>
        <w:t>Figure 2. the illustration of Case 1-2 topology and its transmission signal</w:t>
      </w:r>
    </w:p>
    <w:p>
      <w:pPr>
        <w:numPr>
          <w:ilvl w:val="0"/>
          <w:numId w:val="0"/>
        </w:numPr>
        <w:tabs>
          <w:tab w:val="left" w:pos="2127"/>
        </w:tabs>
        <w:spacing w:after="0"/>
        <w:jc w:val="both"/>
        <w:rPr>
          <w:rFonts w:hint="eastAsia"/>
          <w:lang w:val="en-US" w:eastAsia="zh-CN"/>
        </w:rPr>
      </w:pPr>
      <w:r>
        <w:rPr>
          <w:rFonts w:hint="eastAsia"/>
          <w:lang w:val="en-US" w:eastAsia="zh-CN"/>
        </w:rPr>
        <w:t>For the Case 1-2 with CW signal and backscattering signal transmitted in the UL direction, there would be no impacts on the legacy UE reception when A-IoT is operating under the in-band/guard band mode. In addition, for the inventory command, it is also preferred to be transmitted in the UL direction to minimize the impacts on the legacy UE and minimize the hardware complexity of A-IoT device (e.g. DL and UL are operating at the same frequency range without any frequency shifter). There might be impacts on BS CLI problems from A-IoT BS UL transmission towards the legacy BS UL reception, however due to the limited transmission power from A-IoT BS UL and it</w:t>
      </w:r>
      <w:r>
        <w:rPr>
          <w:rFonts w:hint="default"/>
          <w:lang w:val="en-US" w:eastAsia="zh-CN"/>
        </w:rPr>
        <w:t>’</w:t>
      </w:r>
      <w:r>
        <w:rPr>
          <w:rFonts w:hint="eastAsia"/>
          <w:lang w:val="en-US" w:eastAsia="zh-CN"/>
        </w:rPr>
        <w:t>s expected that the legacy BS could tolerate more CLI than A-IoT BS receiver, then its BS CLI problem should be also limited.</w:t>
      </w:r>
    </w:p>
    <w:p>
      <w:pPr>
        <w:numPr>
          <w:ilvl w:val="0"/>
          <w:numId w:val="0"/>
        </w:numPr>
        <w:tabs>
          <w:tab w:val="left" w:pos="2127"/>
        </w:tabs>
        <w:spacing w:after="0"/>
        <w:jc w:val="both"/>
        <w:rPr>
          <w:rFonts w:hint="default"/>
          <w:lang w:val="en-US" w:eastAsia="zh-CN"/>
        </w:rPr>
      </w:pPr>
      <w:r>
        <w:rPr>
          <w:rFonts w:hint="eastAsia"/>
          <w:b/>
          <w:bCs/>
          <w:lang w:val="en-US" w:eastAsia="zh-CN"/>
        </w:rPr>
        <w:t>Proposal 2:</w:t>
      </w:r>
      <w:r>
        <w:rPr>
          <w:rFonts w:hint="eastAsia"/>
          <w:lang w:val="en-US" w:eastAsia="zh-CN"/>
        </w:rPr>
        <w:t xml:space="preserve"> </w:t>
      </w:r>
      <w:r>
        <w:rPr>
          <w:rFonts w:hint="eastAsia"/>
          <w:color w:val="auto"/>
          <w:lang w:val="en-US" w:eastAsia="zh-CN"/>
        </w:rPr>
        <w:t xml:space="preserve">prioritize Case 1-2 in the topology 1 given no impacts on the legacy UE and potential limited BS CLI problems towards the legacy BS receiver. </w:t>
      </w:r>
    </w:p>
    <w:p>
      <w:pPr>
        <w:numPr>
          <w:ilvl w:val="0"/>
          <w:numId w:val="0"/>
        </w:numPr>
        <w:tabs>
          <w:tab w:val="left" w:pos="2127"/>
        </w:tabs>
        <w:spacing w:after="0"/>
        <w:jc w:val="center"/>
        <w:rPr>
          <w:rFonts w:hint="eastAsia"/>
          <w:lang w:val="en-US" w:eastAsia="zh-CN"/>
        </w:rPr>
      </w:pPr>
    </w:p>
    <w:p>
      <w:pPr>
        <w:keepNext w:val="0"/>
        <w:keepLines w:val="0"/>
        <w:widowControl/>
        <w:suppressLineNumbers w:val="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5594350" cy="1923415"/>
            <wp:effectExtent l="0" t="0" r="0" b="635"/>
            <wp:docPr id="6" name="图片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IMG_256"/>
                    <pic:cNvPicPr>
                      <a:picLocks noChangeAspect="1"/>
                    </pic:cNvPicPr>
                  </pic:nvPicPr>
                  <pic:blipFill>
                    <a:blip r:embed="rId9"/>
                    <a:stretch>
                      <a:fillRect/>
                    </a:stretch>
                  </pic:blipFill>
                  <pic:spPr>
                    <a:xfrm>
                      <a:off x="0" y="0"/>
                      <a:ext cx="5594350" cy="1923415"/>
                    </a:xfrm>
                    <a:prstGeom prst="rect">
                      <a:avLst/>
                    </a:prstGeom>
                    <a:noFill/>
                    <a:ln w="9525">
                      <a:noFill/>
                    </a:ln>
                  </pic:spPr>
                </pic:pic>
              </a:graphicData>
            </a:graphic>
          </wp:inline>
        </w:drawing>
      </w:r>
    </w:p>
    <w:p>
      <w:pPr>
        <w:numPr>
          <w:ilvl w:val="0"/>
          <w:numId w:val="0"/>
        </w:numPr>
        <w:tabs>
          <w:tab w:val="left" w:pos="2127"/>
        </w:tabs>
        <w:spacing w:after="0"/>
        <w:jc w:val="center"/>
      </w:pPr>
      <w:r>
        <w:rPr>
          <w:rFonts w:hint="eastAsia"/>
          <w:lang w:val="en-US" w:eastAsia="zh-CN"/>
        </w:rPr>
        <w:t>Figure 3. the illustration of Case 1-4 topology and its transmission signal</w:t>
      </w:r>
    </w:p>
    <w:p>
      <w:pPr>
        <w:numPr>
          <w:ilvl w:val="0"/>
          <w:numId w:val="0"/>
        </w:numPr>
        <w:tabs>
          <w:tab w:val="left" w:pos="2127"/>
        </w:tabs>
        <w:spacing w:after="0"/>
        <w:jc w:val="both"/>
        <w:rPr>
          <w:rFonts w:hint="default"/>
          <w:lang w:val="en-US" w:eastAsia="zh-CN"/>
        </w:rPr>
      </w:pPr>
      <w:r>
        <w:rPr>
          <w:rFonts w:hint="eastAsia"/>
          <w:lang w:val="en-US" w:eastAsia="zh-CN"/>
        </w:rPr>
        <w:t xml:space="preserve">For the Case 1-4 with CW signal and backscattering signal transmitted in the UL direction, this is somehow similar as Case 1-2. The only difference is that CW signal transmitted outside of topology and this could leave some freedom for the deployment of CW signal source, however this also leave some uncertainty of coexistence impacts from the deployment perspective since its CW signal might be unknown to the network. </w:t>
      </w:r>
    </w:p>
    <w:p>
      <w:pPr>
        <w:numPr>
          <w:ilvl w:val="0"/>
          <w:numId w:val="0"/>
        </w:numPr>
        <w:tabs>
          <w:tab w:val="left" w:pos="2127"/>
        </w:tabs>
        <w:spacing w:after="0"/>
        <w:jc w:val="both"/>
      </w:pPr>
      <w:r>
        <w:rPr>
          <w:rFonts w:hint="eastAsia"/>
          <w:b/>
          <w:bCs/>
          <w:lang w:val="en-US" w:eastAsia="zh-CN"/>
        </w:rPr>
        <w:t>Proposal 3:</w:t>
      </w:r>
      <w:r>
        <w:rPr>
          <w:rFonts w:hint="eastAsia"/>
          <w:lang w:val="en-US" w:eastAsia="zh-CN"/>
        </w:rPr>
        <w:t xml:space="preserve"> </w:t>
      </w:r>
      <w:r>
        <w:rPr>
          <w:rFonts w:hint="eastAsia"/>
          <w:color w:val="auto"/>
          <w:lang w:val="en-US" w:eastAsia="zh-CN"/>
        </w:rPr>
        <w:t xml:space="preserve">prioritize Case 1-4 in the topology 1 given no impacts on the legacy UE and potential limited BS CLI problems towards the legacy BS receiver. </w:t>
      </w:r>
    </w:p>
    <w:p>
      <w:pPr>
        <w:numPr>
          <w:ilvl w:val="0"/>
          <w:numId w:val="2"/>
        </w:numPr>
        <w:tabs>
          <w:tab w:val="left" w:pos="2127"/>
        </w:tabs>
        <w:spacing w:after="0"/>
        <w:rPr>
          <w:rFonts w:hint="eastAsia"/>
          <w:lang w:val="en-US" w:eastAsia="zh-CN"/>
        </w:rPr>
      </w:pPr>
      <w:r>
        <w:rPr>
          <w:rFonts w:hint="eastAsia"/>
          <w:lang w:val="en-US" w:eastAsia="zh-CN"/>
        </w:rPr>
        <w:t xml:space="preserve"> Topology 2 includes the following cases e..g. Case 2-2, Case 2-3 and Case 2-4. The deployment layout is depicted in the following figure 4-6 according to the latest agreement reached in last RAN1 meeting. </w:t>
      </w:r>
    </w:p>
    <w:p>
      <w:r>
        <w:rPr>
          <w:rFonts w:hint="eastAsia"/>
          <w:lang w:val="en-US" w:eastAsia="zh-CN"/>
        </w:rPr>
        <w:t>NOTE 3:  This topology includes the possibility that the intermediate node transmitting to the Ambient IoT device is a different from the intermediate node receiving from the Ambient IoT device</w:t>
      </w:r>
    </w:p>
    <w:p>
      <w:pPr>
        <w:numPr>
          <w:ilvl w:val="0"/>
          <w:numId w:val="0"/>
        </w:numPr>
        <w:tabs>
          <w:tab w:val="left" w:pos="2127"/>
        </w:tabs>
        <w:spacing w:after="0"/>
        <w:rPr>
          <w:rFonts w:hint="default"/>
          <w:lang w:val="en-US" w:eastAsia="zh-CN"/>
        </w:rPr>
      </w:pPr>
      <w:r>
        <w:rPr>
          <w:rFonts w:hint="eastAsia"/>
          <w:lang w:val="en-US" w:eastAsia="zh-CN"/>
        </w:rPr>
        <w:t xml:space="preserve">NOTE 4: the DL/UL spectrum used for inventory command is not decided yet. </w:t>
      </w:r>
    </w:p>
    <w:p>
      <w:pPr>
        <w:keepNext w:val="0"/>
        <w:keepLines w:val="0"/>
        <w:widowControl/>
        <w:suppressLineNumbers w:val="0"/>
        <w:jc w:val="left"/>
      </w:pPr>
    </w:p>
    <w:p>
      <w:pPr>
        <w:keepNext w:val="0"/>
        <w:keepLines w:val="0"/>
        <w:widowControl/>
        <w:suppressLineNumbers w:val="0"/>
        <w:jc w:val="left"/>
      </w:pPr>
      <w:r>
        <w:rPr>
          <w:rFonts w:ascii="宋体" w:hAnsi="宋体" w:eastAsia="宋体" w:cs="宋体"/>
          <w:kern w:val="0"/>
          <w:sz w:val="24"/>
          <w:szCs w:val="24"/>
          <w:lang w:val="en-US" w:eastAsia="zh-CN" w:bidi="ar"/>
        </w:rPr>
        <w:drawing>
          <wp:inline distT="0" distB="0" distL="114300" distR="114300">
            <wp:extent cx="6019165" cy="1449705"/>
            <wp:effectExtent l="0" t="0" r="0" b="0"/>
            <wp:docPr id="8" name="图片 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IMG_256"/>
                    <pic:cNvPicPr>
                      <a:picLocks noChangeAspect="1"/>
                    </pic:cNvPicPr>
                  </pic:nvPicPr>
                  <pic:blipFill>
                    <a:blip r:embed="rId10"/>
                    <a:stretch>
                      <a:fillRect/>
                    </a:stretch>
                  </pic:blipFill>
                  <pic:spPr>
                    <a:xfrm>
                      <a:off x="0" y="0"/>
                      <a:ext cx="6019165" cy="1449705"/>
                    </a:xfrm>
                    <a:prstGeom prst="rect">
                      <a:avLst/>
                    </a:prstGeom>
                    <a:noFill/>
                    <a:ln w="9525">
                      <a:noFill/>
                    </a:ln>
                  </pic:spPr>
                </pic:pic>
              </a:graphicData>
            </a:graphic>
          </wp:inline>
        </w:drawing>
      </w:r>
    </w:p>
    <w:p>
      <w:pPr>
        <w:numPr>
          <w:ilvl w:val="0"/>
          <w:numId w:val="0"/>
        </w:numPr>
        <w:tabs>
          <w:tab w:val="left" w:pos="2127"/>
        </w:tabs>
        <w:spacing w:after="0"/>
        <w:jc w:val="center"/>
        <w:rPr>
          <w:rFonts w:hint="eastAsia"/>
          <w:lang w:val="en-US" w:eastAsia="zh-CN"/>
        </w:rPr>
      </w:pPr>
      <w:r>
        <w:rPr>
          <w:rFonts w:hint="eastAsia"/>
          <w:lang w:val="en-US" w:eastAsia="zh-CN"/>
        </w:rPr>
        <w:t>Figure 4. the illustration of Case 2-2 topology and its transmission signal</w:t>
      </w:r>
    </w:p>
    <w:p>
      <w:pPr>
        <w:numPr>
          <w:ilvl w:val="0"/>
          <w:numId w:val="0"/>
        </w:numPr>
        <w:tabs>
          <w:tab w:val="left" w:pos="2127"/>
        </w:tabs>
        <w:spacing w:after="0"/>
        <w:jc w:val="both"/>
        <w:rPr>
          <w:rFonts w:hint="eastAsia"/>
          <w:lang w:val="en-US" w:eastAsia="zh-CN"/>
        </w:rPr>
      </w:pPr>
      <w:r>
        <w:rPr>
          <w:rFonts w:hint="eastAsia"/>
          <w:color w:val="auto"/>
          <w:lang w:val="en-US" w:eastAsia="zh-CN"/>
        </w:rPr>
        <w:t>For the Case 2-2 with CW signal and backscattering signal transmitted in the UL direction, there would be no impacts on the legacy UE reception. The potential inference caused in Case 2-2 is the uplink interference by CW signal or backscattering signal received at legacy BS side.</w:t>
      </w:r>
    </w:p>
    <w:p>
      <w:pPr>
        <w:keepNext w:val="0"/>
        <w:keepLines w:val="0"/>
        <w:widowControl/>
        <w:suppressLineNumbers w:val="0"/>
        <w:jc w:val="left"/>
      </w:pPr>
    </w:p>
    <w:p>
      <w:pPr>
        <w:keepNext w:val="0"/>
        <w:keepLines w:val="0"/>
        <w:widowControl/>
        <w:suppressLineNumbers w:val="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5793105" cy="2062480"/>
            <wp:effectExtent l="0" t="0" r="0" b="13970"/>
            <wp:docPr id="9" name="图片 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IMG_256"/>
                    <pic:cNvPicPr>
                      <a:picLocks noChangeAspect="1"/>
                    </pic:cNvPicPr>
                  </pic:nvPicPr>
                  <pic:blipFill>
                    <a:blip r:embed="rId11"/>
                    <a:stretch>
                      <a:fillRect/>
                    </a:stretch>
                  </pic:blipFill>
                  <pic:spPr>
                    <a:xfrm>
                      <a:off x="0" y="0"/>
                      <a:ext cx="5793105" cy="2062480"/>
                    </a:xfrm>
                    <a:prstGeom prst="rect">
                      <a:avLst/>
                    </a:prstGeom>
                    <a:noFill/>
                    <a:ln w="9525">
                      <a:noFill/>
                    </a:ln>
                  </pic:spPr>
                </pic:pic>
              </a:graphicData>
            </a:graphic>
          </wp:inline>
        </w:drawing>
      </w:r>
    </w:p>
    <w:p>
      <w:pPr>
        <w:numPr>
          <w:ilvl w:val="0"/>
          <w:numId w:val="0"/>
        </w:numPr>
        <w:tabs>
          <w:tab w:val="left" w:pos="2127"/>
        </w:tabs>
        <w:spacing w:after="0"/>
        <w:jc w:val="center"/>
        <w:rPr>
          <w:rFonts w:hint="eastAsia"/>
          <w:lang w:val="en-US" w:eastAsia="zh-CN"/>
        </w:rPr>
      </w:pPr>
      <w:r>
        <w:rPr>
          <w:rFonts w:hint="eastAsia"/>
          <w:lang w:val="en-US" w:eastAsia="zh-CN"/>
        </w:rPr>
        <w:t>Figure 5. the illustration of Case 2-3 topology and its transmission signal</w:t>
      </w:r>
    </w:p>
    <w:p>
      <w:pPr>
        <w:numPr>
          <w:ilvl w:val="0"/>
          <w:numId w:val="0"/>
        </w:numPr>
        <w:tabs>
          <w:tab w:val="left" w:pos="2127"/>
        </w:tabs>
        <w:spacing w:after="0"/>
        <w:jc w:val="both"/>
        <w:rPr>
          <w:rFonts w:hint="default"/>
          <w:lang w:val="en-US" w:eastAsia="zh-CN"/>
        </w:rPr>
      </w:pPr>
      <w:r>
        <w:rPr>
          <w:rFonts w:hint="eastAsia"/>
          <w:color w:val="auto"/>
          <w:lang w:val="en-US" w:eastAsia="zh-CN"/>
        </w:rPr>
        <w:t>For the Case 2-3 with CW signal and backscattering signal transmitted in the DL direction, there would be some impacts on the legacy UE reception e.g. CW signal transmitted from CW source and also backscattering signal from A-IoT Device when it</w:t>
      </w:r>
      <w:r>
        <w:rPr>
          <w:rFonts w:hint="default"/>
          <w:color w:val="auto"/>
          <w:lang w:val="en-US" w:eastAsia="zh-CN"/>
        </w:rPr>
        <w:t>’</w:t>
      </w:r>
      <w:r>
        <w:rPr>
          <w:rFonts w:hint="eastAsia"/>
          <w:color w:val="auto"/>
          <w:lang w:val="en-US" w:eastAsia="zh-CN"/>
        </w:rPr>
        <w:t>s under the in-band/guard band operation mode.</w:t>
      </w:r>
    </w:p>
    <w:p>
      <w:pPr>
        <w:numPr>
          <w:ilvl w:val="0"/>
          <w:numId w:val="0"/>
        </w:numPr>
        <w:tabs>
          <w:tab w:val="left" w:pos="2127"/>
        </w:tabs>
        <w:spacing w:after="0"/>
        <w:jc w:val="center"/>
        <w:rPr>
          <w:rFonts w:hint="eastAsia"/>
          <w:lang w:val="en-US" w:eastAsia="zh-CN"/>
        </w:rPr>
      </w:pPr>
    </w:p>
    <w:p>
      <w:pPr>
        <w:keepNext w:val="0"/>
        <w:keepLines w:val="0"/>
        <w:widowControl/>
        <w:suppressLineNumbers w:val="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6067425" cy="2219325"/>
            <wp:effectExtent l="0" t="0" r="0" b="8890"/>
            <wp:docPr id="10" name="图片 1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IMG_256"/>
                    <pic:cNvPicPr>
                      <a:picLocks noChangeAspect="1"/>
                    </pic:cNvPicPr>
                  </pic:nvPicPr>
                  <pic:blipFill>
                    <a:blip r:embed="rId12"/>
                    <a:stretch>
                      <a:fillRect/>
                    </a:stretch>
                  </pic:blipFill>
                  <pic:spPr>
                    <a:xfrm>
                      <a:off x="0" y="0"/>
                      <a:ext cx="6067425" cy="2219325"/>
                    </a:xfrm>
                    <a:prstGeom prst="rect">
                      <a:avLst/>
                    </a:prstGeom>
                    <a:noFill/>
                    <a:ln w="9525">
                      <a:noFill/>
                    </a:ln>
                  </pic:spPr>
                </pic:pic>
              </a:graphicData>
            </a:graphic>
          </wp:inline>
        </w:drawing>
      </w:r>
    </w:p>
    <w:p>
      <w:pPr>
        <w:numPr>
          <w:ilvl w:val="0"/>
          <w:numId w:val="0"/>
        </w:numPr>
        <w:tabs>
          <w:tab w:val="left" w:pos="2127"/>
        </w:tabs>
        <w:spacing w:after="0"/>
        <w:jc w:val="center"/>
      </w:pPr>
      <w:r>
        <w:rPr>
          <w:rFonts w:hint="eastAsia"/>
          <w:lang w:val="en-US" w:eastAsia="zh-CN"/>
        </w:rPr>
        <w:t>Figure 6. the illustration of Case 2-4 topology and its transmission signal</w:t>
      </w:r>
    </w:p>
    <w:p>
      <w:pPr>
        <w:numPr>
          <w:ilvl w:val="0"/>
          <w:numId w:val="0"/>
        </w:numPr>
        <w:tabs>
          <w:tab w:val="left" w:pos="2127"/>
        </w:tabs>
        <w:spacing w:after="0"/>
        <w:jc w:val="both"/>
        <w:rPr>
          <w:rFonts w:hint="eastAsia"/>
          <w:lang w:val="en-US" w:eastAsia="zh-CN"/>
        </w:rPr>
      </w:pPr>
      <w:r>
        <w:rPr>
          <w:rFonts w:hint="eastAsia"/>
          <w:color w:val="auto"/>
          <w:lang w:val="en-US" w:eastAsia="zh-CN"/>
        </w:rPr>
        <w:t>For the Case 2-4 with CW signal and backscattering signal transmitted in the UL direction similar as Case 2-2, there would be no impacts on the legacy UE reception.</w:t>
      </w:r>
      <w:r>
        <w:rPr>
          <w:rFonts w:hint="eastAsia"/>
          <w:lang w:val="en-US" w:eastAsia="zh-CN"/>
        </w:rPr>
        <w:t xml:space="preserve"> The only difference is that CW signal transmitted outside of topology and this could leave some freedom for the deployment of CW signal source, however this also leave some uncertainty of coexistence impacts from the deployment perspective since its CW signal might be unknown to the legacy BS receiver.</w:t>
      </w:r>
    </w:p>
    <w:p>
      <w:pPr>
        <w:numPr>
          <w:ilvl w:val="0"/>
          <w:numId w:val="0"/>
        </w:numPr>
        <w:tabs>
          <w:tab w:val="left" w:pos="2127"/>
        </w:tabs>
        <w:spacing w:after="0"/>
        <w:jc w:val="both"/>
        <w:rPr>
          <w:rFonts w:hint="default"/>
          <w:lang w:val="en-US" w:eastAsia="zh-CN"/>
        </w:rPr>
      </w:pPr>
      <w:r>
        <w:rPr>
          <w:rFonts w:hint="eastAsia"/>
          <w:b/>
          <w:bCs/>
          <w:lang w:val="en-US" w:eastAsia="zh-CN"/>
        </w:rPr>
        <w:t>Proposal 4:</w:t>
      </w:r>
      <w:r>
        <w:rPr>
          <w:rFonts w:hint="eastAsia"/>
          <w:lang w:val="en-US" w:eastAsia="zh-CN"/>
        </w:rPr>
        <w:t xml:space="preserve"> Case 2-2 and Case 2-4 could be prioritized in RAN4 as well if there are strong market demand. </w:t>
      </w:r>
    </w:p>
    <w:p>
      <w:pPr>
        <w:pStyle w:val="58"/>
        <w:keepNext/>
        <w:keepLines/>
        <w:pageBreakBefore w:val="0"/>
        <w:widowControl/>
        <w:numPr>
          <w:ilvl w:val="0"/>
          <w:numId w:val="0"/>
        </w:numP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hint="default" w:eastAsia="Times New Roman"/>
          <w:sz w:val="28"/>
          <w:szCs w:val="28"/>
          <w:lang w:val="en-US"/>
        </w:rPr>
      </w:pPr>
      <w:r>
        <w:rPr>
          <w:rFonts w:hint="eastAsia"/>
          <w:sz w:val="28"/>
          <w:szCs w:val="28"/>
          <w:lang w:val="en-US" w:eastAsia="zh-CN"/>
        </w:rPr>
        <w:t>2.2. Discussion on coexistence cases and simulation assumptions</w:t>
      </w:r>
    </w:p>
    <w:p>
      <w:pPr>
        <w:tabs>
          <w:tab w:val="left" w:pos="2127"/>
        </w:tabs>
        <w:spacing w:after="0"/>
        <w:rPr>
          <w:rFonts w:hint="eastAsia"/>
          <w:lang w:val="en-US" w:eastAsia="zh-CN"/>
        </w:rPr>
      </w:pPr>
      <w:r>
        <w:rPr>
          <w:rFonts w:hint="eastAsia"/>
          <w:lang w:val="en-US" w:eastAsia="zh-CN"/>
        </w:rPr>
        <w:t xml:space="preserve">In the following section, we provide some initial views on the coexistence cases and simulation assumptions for A-IoT coexistence study.  </w:t>
      </w:r>
    </w:p>
    <w:p>
      <w:pPr>
        <w:tabs>
          <w:tab w:val="left" w:pos="2127"/>
        </w:tabs>
        <w:spacing w:after="0"/>
        <w:rPr>
          <w:rFonts w:hint="default"/>
          <w:lang w:val="en-US" w:eastAsia="zh-CN"/>
        </w:rPr>
      </w:pPr>
      <w:r>
        <w:rPr>
          <w:rFonts w:hint="eastAsia"/>
          <w:lang w:val="en-US" w:eastAsia="zh-CN"/>
        </w:rPr>
        <w:t>From our understanding, at least the following coexistence cases should be taken into account and further discuss downselection if some tightening cases among all could be identified.</w:t>
      </w:r>
    </w:p>
    <w:p>
      <w:pPr>
        <w:tabs>
          <w:tab w:val="left" w:pos="2127"/>
        </w:tabs>
        <w:spacing w:after="0"/>
        <w:rPr>
          <w:rFonts w:hint="eastAsia"/>
          <w:lang w:val="en-US" w:eastAsia="zh-CN"/>
        </w:rPr>
        <w:sectPr>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p>
    <w:p>
      <w:pPr>
        <w:tabs>
          <w:tab w:val="left" w:pos="2127"/>
        </w:tabs>
        <w:spacing w:after="0"/>
        <w:rPr>
          <w:rFonts w:hint="eastAsia"/>
          <w:lang w:val="en-US" w:eastAsia="zh-CN"/>
        </w:rPr>
      </w:pPr>
    </w:p>
    <w:p>
      <w:pPr>
        <w:numPr>
          <w:ilvl w:val="0"/>
          <w:numId w:val="0"/>
        </w:numPr>
        <w:tabs>
          <w:tab w:val="left" w:pos="2127"/>
        </w:tabs>
        <w:spacing w:after="0"/>
        <w:jc w:val="center"/>
        <w:rPr>
          <w:rFonts w:hint="default"/>
          <w:lang w:val="en-US" w:eastAsia="zh-CN"/>
        </w:rPr>
      </w:pPr>
      <w:r>
        <w:rPr>
          <w:rFonts w:hint="eastAsia"/>
          <w:lang w:val="en-US" w:eastAsia="zh-CN"/>
        </w:rPr>
        <w:t>Table 1. Evaluation cases for A-IoT coexistence study for topology 1</w:t>
      </w:r>
    </w:p>
    <w:tbl>
      <w:tblPr>
        <w:tblStyle w:val="1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0"/>
        <w:gridCol w:w="851"/>
        <w:gridCol w:w="1240"/>
        <w:gridCol w:w="1078"/>
        <w:gridCol w:w="1560"/>
        <w:gridCol w:w="1204"/>
        <w:gridCol w:w="2484"/>
        <w:gridCol w:w="46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noWrap w:val="0"/>
            <w:vAlign w:val="top"/>
          </w:tcPr>
          <w:p>
            <w:pPr>
              <w:pStyle w:val="38"/>
              <w:suppressLineNumbers w:val="0"/>
              <w:spacing w:before="0" w:beforeAutospacing="0" w:afterAutospacing="0"/>
              <w:ind w:left="0" w:right="0"/>
              <w:rPr>
                <w:rFonts w:hint="default" w:eastAsia="宋体"/>
                <w:lang w:val="en-US" w:eastAsia="zh-CN"/>
              </w:rPr>
            </w:pPr>
            <w:r>
              <w:rPr>
                <w:rFonts w:hint="eastAsia" w:eastAsia="宋体"/>
                <w:lang w:val="en-US" w:eastAsia="zh-CN"/>
              </w:rPr>
              <w:t>Topology</w:t>
            </w:r>
          </w:p>
        </w:tc>
        <w:tc>
          <w:tcPr>
            <w:tcW w:w="851" w:type="dxa"/>
            <w:noWrap w:val="0"/>
            <w:vAlign w:val="top"/>
          </w:tcPr>
          <w:p>
            <w:pPr>
              <w:pStyle w:val="38"/>
              <w:suppressLineNumbers w:val="0"/>
              <w:spacing w:before="0" w:beforeAutospacing="0" w:afterAutospacing="0"/>
              <w:ind w:left="0" w:right="0"/>
              <w:rPr>
                <w:rFonts w:hint="default" w:eastAsia="宋体"/>
                <w:lang w:val="en-US" w:eastAsia="zh-CN"/>
              </w:rPr>
            </w:pPr>
            <w:r>
              <w:rPr>
                <w:rFonts w:hint="eastAsia" w:eastAsia="宋体"/>
                <w:lang w:val="en-US" w:eastAsia="zh-CN"/>
              </w:rPr>
              <w:t xml:space="preserve">Case </w:t>
            </w:r>
          </w:p>
        </w:tc>
        <w:tc>
          <w:tcPr>
            <w:tcW w:w="1240" w:type="dxa"/>
            <w:noWrap w:val="0"/>
            <w:vAlign w:val="top"/>
          </w:tcPr>
          <w:p>
            <w:pPr>
              <w:pStyle w:val="38"/>
              <w:suppressLineNumbers w:val="0"/>
              <w:spacing w:before="0" w:beforeAutospacing="0" w:afterAutospacing="0"/>
              <w:ind w:left="0" w:right="0"/>
              <w:rPr>
                <w:rFonts w:hint="default"/>
              </w:rPr>
            </w:pPr>
            <w:r>
              <w:rPr>
                <w:rFonts w:hint="default"/>
              </w:rPr>
              <w:t>Aggressor</w:t>
            </w:r>
          </w:p>
        </w:tc>
        <w:tc>
          <w:tcPr>
            <w:tcW w:w="1078" w:type="dxa"/>
            <w:noWrap w:val="0"/>
            <w:vAlign w:val="top"/>
          </w:tcPr>
          <w:p>
            <w:pPr>
              <w:pStyle w:val="38"/>
              <w:suppressLineNumbers w:val="0"/>
              <w:spacing w:before="0" w:beforeAutospacing="0" w:afterAutospacing="0"/>
              <w:ind w:left="0" w:right="0"/>
              <w:rPr>
                <w:rFonts w:hint="default"/>
              </w:rPr>
            </w:pPr>
            <w:r>
              <w:rPr>
                <w:rFonts w:hint="default"/>
              </w:rPr>
              <w:t>Victim</w:t>
            </w:r>
          </w:p>
        </w:tc>
        <w:tc>
          <w:tcPr>
            <w:tcW w:w="1560" w:type="dxa"/>
            <w:noWrap w:val="0"/>
            <w:vAlign w:val="top"/>
          </w:tcPr>
          <w:p>
            <w:pPr>
              <w:pStyle w:val="38"/>
              <w:suppressLineNumbers w:val="0"/>
              <w:spacing w:before="0" w:beforeAutospacing="0" w:afterAutospacing="0"/>
              <w:ind w:left="0" w:right="0"/>
              <w:rPr>
                <w:rFonts w:hint="default" w:eastAsia="宋体"/>
                <w:lang w:val="en-US" w:eastAsia="zh-CN"/>
              </w:rPr>
            </w:pPr>
            <w:r>
              <w:rPr>
                <w:rFonts w:hint="eastAsia"/>
                <w:lang w:val="en-US" w:eastAsia="zh-CN"/>
              </w:rPr>
              <w:t>Mode</w:t>
            </w:r>
          </w:p>
        </w:tc>
        <w:tc>
          <w:tcPr>
            <w:tcW w:w="1204" w:type="dxa"/>
            <w:noWrap w:val="0"/>
            <w:vAlign w:val="top"/>
          </w:tcPr>
          <w:p>
            <w:pPr>
              <w:pStyle w:val="38"/>
              <w:suppressLineNumbers w:val="0"/>
              <w:spacing w:before="0" w:beforeAutospacing="0" w:afterAutospacing="0"/>
              <w:ind w:left="0" w:right="0"/>
              <w:rPr>
                <w:rFonts w:hint="default"/>
                <w:lang w:val="en-US" w:eastAsia="zh-CN"/>
              </w:rPr>
            </w:pPr>
            <w:r>
              <w:rPr>
                <w:rFonts w:hint="eastAsia"/>
                <w:lang w:val="en-US" w:eastAsia="zh-CN"/>
              </w:rPr>
              <w:t>Inventory command</w:t>
            </w:r>
          </w:p>
        </w:tc>
        <w:tc>
          <w:tcPr>
            <w:tcW w:w="2484" w:type="dxa"/>
            <w:noWrap w:val="0"/>
            <w:vAlign w:val="top"/>
          </w:tcPr>
          <w:p>
            <w:pPr>
              <w:pStyle w:val="38"/>
              <w:suppressLineNumbers w:val="0"/>
              <w:spacing w:before="0" w:beforeAutospacing="0" w:afterAutospacing="0"/>
              <w:ind w:left="0" w:right="0"/>
              <w:rPr>
                <w:rFonts w:hint="default" w:eastAsia="宋体"/>
                <w:lang w:val="en-US" w:eastAsia="zh-CN"/>
              </w:rPr>
            </w:pPr>
            <w:r>
              <w:rPr>
                <w:rFonts w:hint="eastAsia" w:eastAsia="宋体"/>
                <w:lang w:val="en-US" w:eastAsia="zh-CN"/>
              </w:rPr>
              <w:t>CW signal/Backscattering signal</w:t>
            </w:r>
          </w:p>
        </w:tc>
        <w:tc>
          <w:tcPr>
            <w:tcW w:w="4657" w:type="dxa"/>
            <w:noWrap w:val="0"/>
            <w:vAlign w:val="top"/>
          </w:tcPr>
          <w:p>
            <w:pPr>
              <w:pStyle w:val="38"/>
              <w:suppressLineNumbers w:val="0"/>
              <w:spacing w:before="0" w:beforeAutospacing="0" w:afterAutospacing="0"/>
              <w:ind w:left="0" w:right="0"/>
              <w:rPr>
                <w:rFonts w:hint="default"/>
              </w:rPr>
            </w:pPr>
            <w:r>
              <w:rPr>
                <w:rFonts w:hint="default"/>
              </w:rPr>
              <w:t>Study Phase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noWrap w:val="0"/>
            <w:vAlign w:val="top"/>
          </w:tcPr>
          <w:p>
            <w:pPr>
              <w:pStyle w:val="39"/>
              <w:suppressLineNumbers w:val="0"/>
              <w:spacing w:before="0" w:beforeAutospacing="0" w:afterAutospacing="0"/>
              <w:ind w:left="0" w:right="0"/>
              <w:rPr>
                <w:rFonts w:hint="default" w:eastAsia="宋体"/>
                <w:lang w:val="en-US" w:eastAsia="zh-CN"/>
              </w:rPr>
            </w:pPr>
            <w:r>
              <w:rPr>
                <w:rFonts w:hint="eastAsia" w:eastAsia="宋体"/>
                <w:lang w:val="en-US" w:eastAsia="zh-CN"/>
              </w:rPr>
              <w:t>Case 1-2</w:t>
            </w:r>
          </w:p>
        </w:tc>
        <w:tc>
          <w:tcPr>
            <w:tcW w:w="851" w:type="dxa"/>
            <w:noWrap w:val="0"/>
            <w:vAlign w:val="top"/>
          </w:tcPr>
          <w:p>
            <w:pPr>
              <w:pStyle w:val="39"/>
              <w:suppressLineNumbers w:val="0"/>
              <w:spacing w:before="0" w:beforeAutospacing="0" w:afterAutospacing="0"/>
              <w:ind w:left="0" w:right="0"/>
              <w:rPr>
                <w:rFonts w:hint="default" w:eastAsia="宋体"/>
                <w:lang w:val="en-US" w:eastAsia="zh-CN"/>
              </w:rPr>
            </w:pPr>
            <w:r>
              <w:rPr>
                <w:rFonts w:hint="eastAsia" w:eastAsia="宋体"/>
                <w:lang w:val="en-US" w:eastAsia="zh-CN"/>
              </w:rPr>
              <w:t>1</w:t>
            </w:r>
          </w:p>
        </w:tc>
        <w:tc>
          <w:tcPr>
            <w:tcW w:w="1240" w:type="dxa"/>
            <w:noWrap w:val="0"/>
            <w:vAlign w:val="top"/>
          </w:tcPr>
          <w:p>
            <w:pPr>
              <w:pStyle w:val="39"/>
              <w:suppressLineNumbers w:val="0"/>
              <w:spacing w:before="0" w:beforeAutospacing="0" w:afterAutospacing="0"/>
              <w:ind w:left="0" w:right="0"/>
              <w:rPr>
                <w:rFonts w:hint="default"/>
              </w:rPr>
            </w:pPr>
            <w:r>
              <w:rPr>
                <w:rFonts w:hint="eastAsia"/>
                <w:lang w:val="en-US" w:eastAsia="zh-CN"/>
              </w:rPr>
              <w:t xml:space="preserve">Legacy </w:t>
            </w:r>
            <w:r>
              <w:rPr>
                <w:rFonts w:hint="eastAsia"/>
              </w:rPr>
              <w:t>TN DL</w:t>
            </w:r>
          </w:p>
        </w:tc>
        <w:tc>
          <w:tcPr>
            <w:tcW w:w="1078" w:type="dxa"/>
            <w:noWrap w:val="0"/>
            <w:vAlign w:val="top"/>
          </w:tcPr>
          <w:p>
            <w:pPr>
              <w:pStyle w:val="39"/>
              <w:suppressLineNumbers w:val="0"/>
              <w:spacing w:before="0" w:beforeAutospacing="0" w:afterAutospacing="0"/>
              <w:ind w:left="0" w:right="0"/>
              <w:rPr>
                <w:rFonts w:hint="default" w:eastAsia="宋体"/>
                <w:lang w:val="en-US" w:eastAsia="zh-CN"/>
              </w:rPr>
            </w:pPr>
            <w:r>
              <w:rPr>
                <w:rFonts w:hint="eastAsia"/>
                <w:lang w:val="en-US" w:eastAsia="zh-CN"/>
              </w:rPr>
              <w:t>A-IoT</w:t>
            </w:r>
            <w:r>
              <w:rPr>
                <w:rFonts w:hint="eastAsia"/>
              </w:rPr>
              <w:t xml:space="preserve"> </w:t>
            </w:r>
            <w:r>
              <w:rPr>
                <w:rFonts w:hint="eastAsia" w:eastAsia="宋体"/>
                <w:lang w:val="en-US" w:eastAsia="zh-CN"/>
              </w:rPr>
              <w:t>DL</w:t>
            </w:r>
          </w:p>
        </w:tc>
        <w:tc>
          <w:tcPr>
            <w:tcW w:w="1560" w:type="dxa"/>
            <w:noWrap w:val="0"/>
            <w:vAlign w:val="top"/>
          </w:tcPr>
          <w:p>
            <w:pPr>
              <w:pStyle w:val="39"/>
              <w:suppressLineNumbers w:val="0"/>
              <w:spacing w:before="0" w:beforeAutospacing="0" w:afterAutospacing="0"/>
              <w:ind w:left="0" w:right="0"/>
              <w:rPr>
                <w:rFonts w:hint="default"/>
                <w:lang w:val="en-US" w:eastAsia="zh-CN"/>
              </w:rPr>
            </w:pPr>
            <w:r>
              <w:rPr>
                <w:rFonts w:hint="eastAsia"/>
                <w:lang w:val="en-US" w:eastAsia="zh-CN"/>
              </w:rPr>
              <w:t>In-band/guard band</w:t>
            </w:r>
          </w:p>
        </w:tc>
        <w:tc>
          <w:tcPr>
            <w:tcW w:w="1204" w:type="dxa"/>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DL</w:t>
            </w:r>
          </w:p>
          <w:p>
            <w:pPr>
              <w:pStyle w:val="39"/>
              <w:suppressLineNumbers w:val="0"/>
              <w:spacing w:before="0" w:beforeAutospacing="0" w:afterAutospacing="0"/>
              <w:ind w:left="0" w:right="0"/>
              <w:rPr>
                <w:rFonts w:hint="eastAsia"/>
                <w:lang w:val="en-US" w:eastAsia="zh-CN"/>
              </w:rPr>
            </w:pPr>
          </w:p>
          <w:p>
            <w:pPr>
              <w:pStyle w:val="39"/>
              <w:suppressLineNumbers w:val="0"/>
              <w:spacing w:before="0" w:beforeAutospacing="0" w:afterAutospacing="0"/>
              <w:ind w:left="0" w:right="0"/>
              <w:rPr>
                <w:rFonts w:hint="default"/>
                <w:lang w:val="en-US" w:eastAsia="zh-CN"/>
              </w:rPr>
            </w:pPr>
          </w:p>
        </w:tc>
        <w:tc>
          <w:tcPr>
            <w:tcW w:w="2484" w:type="dxa"/>
            <w:noWrap w:val="0"/>
            <w:vAlign w:val="top"/>
          </w:tcPr>
          <w:p>
            <w:pPr>
              <w:pStyle w:val="40"/>
              <w:numPr>
                <w:ilvl w:val="0"/>
                <w:numId w:val="0"/>
              </w:numPr>
              <w:suppressLineNumbers w:val="0"/>
              <w:spacing w:before="0" w:beforeAutospacing="0" w:afterAutospacing="0"/>
              <w:ind w:left="0" w:leftChars="0" w:right="0"/>
              <w:rPr>
                <w:rFonts w:hint="eastAsia"/>
                <w:lang w:val="en-US" w:eastAsia="zh-CN"/>
              </w:rPr>
            </w:pPr>
            <w:r>
              <w:rPr>
                <w:rFonts w:hint="eastAsia"/>
                <w:lang w:val="en-US" w:eastAsia="zh-CN"/>
              </w:rPr>
              <w:t xml:space="preserve">     UL</w:t>
            </w:r>
          </w:p>
          <w:p>
            <w:pPr>
              <w:pStyle w:val="40"/>
              <w:numPr>
                <w:ilvl w:val="0"/>
                <w:numId w:val="0"/>
              </w:numPr>
              <w:suppressLineNumbers w:val="0"/>
              <w:spacing w:before="0" w:beforeAutospacing="0" w:afterAutospacing="0"/>
              <w:ind w:left="0" w:leftChars="0" w:right="0"/>
              <w:rPr>
                <w:rFonts w:hint="default"/>
                <w:lang w:val="en-US" w:eastAsia="zh-CN"/>
              </w:rPr>
            </w:pPr>
          </w:p>
        </w:tc>
        <w:tc>
          <w:tcPr>
            <w:tcW w:w="4657" w:type="dxa"/>
            <w:noWrap w:val="0"/>
            <w:vAlign w:val="top"/>
          </w:tcPr>
          <w:p>
            <w:pPr>
              <w:pStyle w:val="39"/>
              <w:suppressLineNumbers w:val="0"/>
              <w:spacing w:before="0" w:beforeAutospacing="0" w:afterAutospacing="0"/>
              <w:ind w:left="0" w:right="0"/>
              <w:rPr>
                <w:rFonts w:hint="default" w:eastAsia="宋体"/>
                <w:lang w:val="en-US" w:eastAsia="zh-CN"/>
              </w:rPr>
            </w:pPr>
            <w:r>
              <w:rPr>
                <w:rFonts w:hint="eastAsia"/>
                <w:lang w:val="en-US" w:eastAsia="zh-CN"/>
              </w:rPr>
              <w:t>To check ACS requirement of A-IoT device for OOK signal decoding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noWrap w:val="0"/>
            <w:vAlign w:val="top"/>
          </w:tcPr>
          <w:p>
            <w:pPr>
              <w:pStyle w:val="39"/>
              <w:suppressLineNumbers w:val="0"/>
              <w:spacing w:before="0" w:beforeAutospacing="0" w:afterAutospacing="0"/>
              <w:ind w:left="0" w:right="0"/>
              <w:rPr>
                <w:rFonts w:hint="eastAsia" w:eastAsia="宋体"/>
                <w:lang w:val="en-US" w:eastAsia="zh-CN"/>
              </w:rPr>
            </w:pPr>
            <w:r>
              <w:rPr>
                <w:rFonts w:hint="eastAsia" w:eastAsia="宋体"/>
                <w:lang w:val="en-US" w:eastAsia="zh-CN"/>
              </w:rPr>
              <w:t>Case 1-2</w:t>
            </w:r>
          </w:p>
        </w:tc>
        <w:tc>
          <w:tcPr>
            <w:tcW w:w="851" w:type="dxa"/>
            <w:noWrap w:val="0"/>
            <w:vAlign w:val="top"/>
          </w:tcPr>
          <w:p>
            <w:pPr>
              <w:pStyle w:val="39"/>
              <w:suppressLineNumbers w:val="0"/>
              <w:spacing w:before="0" w:beforeAutospacing="0" w:afterAutospacing="0"/>
              <w:ind w:left="0" w:right="0"/>
              <w:rPr>
                <w:rFonts w:hint="default" w:eastAsia="宋体"/>
                <w:lang w:val="en-US" w:eastAsia="zh-CN"/>
              </w:rPr>
            </w:pPr>
            <w:r>
              <w:rPr>
                <w:rFonts w:hint="eastAsia" w:eastAsia="宋体"/>
                <w:lang w:val="en-US" w:eastAsia="zh-CN"/>
              </w:rPr>
              <w:t>2</w:t>
            </w:r>
          </w:p>
        </w:tc>
        <w:tc>
          <w:tcPr>
            <w:tcW w:w="1240" w:type="dxa"/>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A-IoT</w:t>
            </w:r>
            <w:r>
              <w:rPr>
                <w:rFonts w:hint="eastAsia"/>
              </w:rPr>
              <w:t xml:space="preserve"> DL</w:t>
            </w:r>
          </w:p>
        </w:tc>
        <w:tc>
          <w:tcPr>
            <w:tcW w:w="1078" w:type="dxa"/>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 xml:space="preserve">Legacy </w:t>
            </w:r>
            <w:r>
              <w:rPr>
                <w:rFonts w:hint="eastAsia"/>
              </w:rPr>
              <w:t>TN DL</w:t>
            </w:r>
          </w:p>
        </w:tc>
        <w:tc>
          <w:tcPr>
            <w:tcW w:w="1560" w:type="dxa"/>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In-band/guard band</w:t>
            </w:r>
          </w:p>
        </w:tc>
        <w:tc>
          <w:tcPr>
            <w:tcW w:w="1204" w:type="dxa"/>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DL</w:t>
            </w:r>
          </w:p>
          <w:p>
            <w:pPr>
              <w:pStyle w:val="39"/>
              <w:suppressLineNumbers w:val="0"/>
              <w:spacing w:before="0" w:beforeAutospacing="0" w:afterAutospacing="0"/>
              <w:ind w:left="0" w:right="0"/>
              <w:rPr>
                <w:rFonts w:hint="eastAsia"/>
                <w:lang w:val="en-US" w:eastAsia="zh-CN"/>
              </w:rPr>
            </w:pPr>
          </w:p>
        </w:tc>
        <w:tc>
          <w:tcPr>
            <w:tcW w:w="2484" w:type="dxa"/>
            <w:noWrap w:val="0"/>
            <w:vAlign w:val="top"/>
          </w:tcPr>
          <w:p>
            <w:pPr>
              <w:pStyle w:val="40"/>
              <w:numPr>
                <w:ilvl w:val="0"/>
                <w:numId w:val="0"/>
              </w:numPr>
              <w:suppressLineNumbers w:val="0"/>
              <w:spacing w:before="0" w:beforeAutospacing="0" w:afterAutospacing="0"/>
              <w:ind w:left="0" w:leftChars="0" w:right="0"/>
              <w:rPr>
                <w:rFonts w:hint="eastAsia"/>
                <w:lang w:val="en-US" w:eastAsia="zh-CN"/>
              </w:rPr>
            </w:pPr>
            <w:r>
              <w:rPr>
                <w:rFonts w:hint="eastAsia"/>
                <w:lang w:val="en-US" w:eastAsia="zh-CN"/>
              </w:rPr>
              <w:t xml:space="preserve">    UL</w:t>
            </w:r>
          </w:p>
        </w:tc>
        <w:tc>
          <w:tcPr>
            <w:tcW w:w="4657" w:type="dxa"/>
            <w:noWrap w:val="0"/>
            <w:vAlign w:val="top"/>
          </w:tcPr>
          <w:p>
            <w:pPr>
              <w:pStyle w:val="39"/>
              <w:suppressLineNumbers w:val="0"/>
              <w:spacing w:before="0" w:beforeAutospacing="0" w:afterAutospacing="0"/>
              <w:ind w:left="0" w:right="0"/>
              <w:rPr>
                <w:rFonts w:hint="default"/>
                <w:lang w:val="en-US" w:eastAsia="zh-CN"/>
              </w:rPr>
            </w:pPr>
            <w:r>
              <w:rPr>
                <w:rFonts w:hint="eastAsia"/>
                <w:lang w:val="en-US" w:eastAsia="zh-CN"/>
              </w:rPr>
              <w:t>To check the ACLR requirement of A-IoT BS 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noWrap w:val="0"/>
            <w:vAlign w:val="top"/>
          </w:tcPr>
          <w:p>
            <w:pPr>
              <w:pStyle w:val="39"/>
              <w:suppressLineNumbers w:val="0"/>
              <w:spacing w:before="0" w:beforeAutospacing="0" w:afterAutospacing="0"/>
              <w:ind w:left="0" w:right="0"/>
              <w:rPr>
                <w:rFonts w:hint="default" w:eastAsia="宋体"/>
                <w:lang w:val="en-US" w:eastAsia="zh-CN"/>
              </w:rPr>
            </w:pPr>
            <w:r>
              <w:rPr>
                <w:rFonts w:hint="eastAsia" w:eastAsia="宋体"/>
                <w:lang w:val="en-US" w:eastAsia="zh-CN"/>
              </w:rPr>
              <w:t>Case 1-2</w:t>
            </w:r>
          </w:p>
        </w:tc>
        <w:tc>
          <w:tcPr>
            <w:tcW w:w="851" w:type="dxa"/>
            <w:noWrap w:val="0"/>
            <w:vAlign w:val="top"/>
          </w:tcPr>
          <w:p>
            <w:pPr>
              <w:pStyle w:val="39"/>
              <w:suppressLineNumbers w:val="0"/>
              <w:spacing w:before="0" w:beforeAutospacing="0" w:afterAutospacing="0"/>
              <w:ind w:left="0" w:right="0"/>
              <w:rPr>
                <w:rFonts w:hint="default" w:eastAsia="宋体"/>
                <w:lang w:val="en-US" w:eastAsia="zh-CN"/>
              </w:rPr>
            </w:pPr>
            <w:r>
              <w:rPr>
                <w:rFonts w:hint="eastAsia" w:eastAsia="宋体"/>
                <w:lang w:val="en-US" w:eastAsia="zh-CN"/>
              </w:rPr>
              <w:t>3</w:t>
            </w:r>
          </w:p>
        </w:tc>
        <w:tc>
          <w:tcPr>
            <w:tcW w:w="1240" w:type="dxa"/>
            <w:noWrap w:val="0"/>
            <w:vAlign w:val="top"/>
          </w:tcPr>
          <w:p>
            <w:pPr>
              <w:pStyle w:val="39"/>
              <w:suppressLineNumbers w:val="0"/>
              <w:spacing w:before="0" w:beforeAutospacing="0" w:afterAutospacing="0"/>
              <w:ind w:left="0" w:right="0"/>
              <w:rPr>
                <w:rFonts w:hint="default" w:eastAsia="宋体"/>
                <w:lang w:val="en-US" w:eastAsia="zh-CN"/>
              </w:rPr>
            </w:pPr>
            <w:r>
              <w:rPr>
                <w:rFonts w:hint="eastAsia"/>
                <w:lang w:val="en-US" w:eastAsia="zh-CN"/>
              </w:rPr>
              <w:t xml:space="preserve">Legacy </w:t>
            </w:r>
            <w:r>
              <w:rPr>
                <w:rFonts w:hint="eastAsia"/>
              </w:rPr>
              <w:t xml:space="preserve">TN </w:t>
            </w:r>
            <w:r>
              <w:rPr>
                <w:rFonts w:hint="eastAsia" w:eastAsia="宋体"/>
                <w:lang w:val="en-US" w:eastAsia="zh-CN"/>
              </w:rPr>
              <w:t>UL</w:t>
            </w:r>
          </w:p>
        </w:tc>
        <w:tc>
          <w:tcPr>
            <w:tcW w:w="1078" w:type="dxa"/>
            <w:noWrap w:val="0"/>
            <w:vAlign w:val="top"/>
          </w:tcPr>
          <w:p>
            <w:pPr>
              <w:pStyle w:val="39"/>
              <w:suppressLineNumbers w:val="0"/>
              <w:spacing w:before="0" w:beforeAutospacing="0" w:afterAutospacing="0"/>
              <w:ind w:left="0" w:right="0"/>
              <w:rPr>
                <w:rFonts w:hint="default" w:eastAsia="宋体"/>
                <w:lang w:val="en-US" w:eastAsia="zh-CN"/>
              </w:rPr>
            </w:pPr>
            <w:r>
              <w:rPr>
                <w:rFonts w:hint="eastAsia"/>
                <w:lang w:val="en-US" w:eastAsia="zh-CN"/>
              </w:rPr>
              <w:t>A-IoT</w:t>
            </w:r>
            <w:r>
              <w:rPr>
                <w:rFonts w:hint="eastAsia"/>
              </w:rPr>
              <w:t xml:space="preserve"> </w:t>
            </w:r>
            <w:r>
              <w:rPr>
                <w:rFonts w:hint="eastAsia" w:eastAsia="宋体"/>
                <w:lang w:val="en-US" w:eastAsia="zh-CN"/>
              </w:rPr>
              <w:t>UL</w:t>
            </w:r>
          </w:p>
        </w:tc>
        <w:tc>
          <w:tcPr>
            <w:tcW w:w="1560" w:type="dxa"/>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In-band/guard band</w:t>
            </w:r>
          </w:p>
        </w:tc>
        <w:tc>
          <w:tcPr>
            <w:tcW w:w="1204" w:type="dxa"/>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DL</w:t>
            </w:r>
          </w:p>
          <w:p>
            <w:pPr>
              <w:pStyle w:val="39"/>
              <w:suppressLineNumbers w:val="0"/>
              <w:spacing w:before="0" w:beforeAutospacing="0" w:afterAutospacing="0"/>
              <w:ind w:left="0" w:right="0"/>
              <w:rPr>
                <w:rFonts w:hint="eastAsia"/>
                <w:lang w:val="en-US" w:eastAsia="zh-CN"/>
              </w:rPr>
            </w:pPr>
          </w:p>
        </w:tc>
        <w:tc>
          <w:tcPr>
            <w:tcW w:w="2484" w:type="dxa"/>
            <w:noWrap w:val="0"/>
            <w:vAlign w:val="top"/>
          </w:tcPr>
          <w:p>
            <w:pPr>
              <w:pStyle w:val="40"/>
              <w:numPr>
                <w:ilvl w:val="0"/>
                <w:numId w:val="0"/>
              </w:numPr>
              <w:suppressLineNumbers w:val="0"/>
              <w:spacing w:before="0" w:beforeAutospacing="0" w:afterAutospacing="0"/>
              <w:ind w:left="0" w:leftChars="0" w:right="0" w:firstLine="360" w:firstLineChars="200"/>
              <w:rPr>
                <w:rFonts w:hint="default"/>
                <w:lang w:val="en-US" w:eastAsia="zh-CN"/>
              </w:rPr>
            </w:pPr>
            <w:r>
              <w:rPr>
                <w:rFonts w:hint="eastAsia"/>
                <w:lang w:val="en-US" w:eastAsia="zh-CN"/>
              </w:rPr>
              <w:t>UL</w:t>
            </w:r>
          </w:p>
        </w:tc>
        <w:tc>
          <w:tcPr>
            <w:tcW w:w="4657" w:type="dxa"/>
            <w:noWrap w:val="0"/>
            <w:vAlign w:val="top"/>
          </w:tcPr>
          <w:p>
            <w:pPr>
              <w:pStyle w:val="39"/>
              <w:suppressLineNumbers w:val="0"/>
              <w:spacing w:before="0" w:beforeAutospacing="0" w:afterAutospacing="0"/>
              <w:ind w:left="0" w:right="0"/>
              <w:rPr>
                <w:rFonts w:hint="default"/>
                <w:lang w:val="en-US" w:eastAsia="zh-CN"/>
              </w:rPr>
            </w:pPr>
            <w:r>
              <w:rPr>
                <w:rFonts w:hint="eastAsia"/>
                <w:lang w:val="en-US" w:eastAsia="zh-CN"/>
              </w:rPr>
              <w:t>To check the ACS requirement of A-IoT BS 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noWrap w:val="0"/>
            <w:vAlign w:val="top"/>
          </w:tcPr>
          <w:p>
            <w:pPr>
              <w:pStyle w:val="39"/>
              <w:suppressLineNumbers w:val="0"/>
              <w:spacing w:before="0" w:beforeAutospacing="0" w:afterAutospacing="0"/>
              <w:ind w:left="0" w:right="0"/>
              <w:rPr>
                <w:rFonts w:hint="eastAsia" w:eastAsia="宋体"/>
                <w:lang w:val="en-US" w:eastAsia="zh-CN"/>
              </w:rPr>
            </w:pPr>
            <w:r>
              <w:rPr>
                <w:rFonts w:hint="eastAsia" w:eastAsia="宋体"/>
                <w:lang w:val="en-US" w:eastAsia="zh-CN"/>
              </w:rPr>
              <w:t>Case 1-2</w:t>
            </w:r>
          </w:p>
        </w:tc>
        <w:tc>
          <w:tcPr>
            <w:tcW w:w="851" w:type="dxa"/>
            <w:noWrap w:val="0"/>
            <w:vAlign w:val="top"/>
          </w:tcPr>
          <w:p>
            <w:pPr>
              <w:pStyle w:val="39"/>
              <w:suppressLineNumbers w:val="0"/>
              <w:spacing w:before="0" w:beforeAutospacing="0" w:afterAutospacing="0"/>
              <w:ind w:left="0" w:right="0"/>
              <w:rPr>
                <w:rFonts w:hint="default" w:eastAsia="宋体"/>
                <w:lang w:val="en-US" w:eastAsia="zh-CN"/>
              </w:rPr>
            </w:pPr>
            <w:r>
              <w:rPr>
                <w:rFonts w:hint="eastAsia" w:eastAsia="宋体"/>
                <w:lang w:val="en-US" w:eastAsia="zh-CN"/>
              </w:rPr>
              <w:t>4</w:t>
            </w:r>
          </w:p>
        </w:tc>
        <w:tc>
          <w:tcPr>
            <w:tcW w:w="1240" w:type="dxa"/>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A-IoT</w:t>
            </w:r>
            <w:r>
              <w:rPr>
                <w:rFonts w:hint="eastAsia"/>
              </w:rPr>
              <w:t xml:space="preserve"> </w:t>
            </w:r>
            <w:r>
              <w:rPr>
                <w:rFonts w:hint="eastAsia" w:eastAsia="宋体"/>
                <w:lang w:val="en-US" w:eastAsia="zh-CN"/>
              </w:rPr>
              <w:t>UL</w:t>
            </w:r>
          </w:p>
        </w:tc>
        <w:tc>
          <w:tcPr>
            <w:tcW w:w="1078" w:type="dxa"/>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 xml:space="preserve">Legacy </w:t>
            </w:r>
            <w:r>
              <w:rPr>
                <w:rFonts w:hint="eastAsia"/>
              </w:rPr>
              <w:t xml:space="preserve">TN </w:t>
            </w:r>
            <w:r>
              <w:rPr>
                <w:rFonts w:hint="eastAsia" w:eastAsia="宋体"/>
                <w:lang w:val="en-US" w:eastAsia="zh-CN"/>
              </w:rPr>
              <w:t>UL</w:t>
            </w:r>
          </w:p>
        </w:tc>
        <w:tc>
          <w:tcPr>
            <w:tcW w:w="1560" w:type="dxa"/>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In-band/guard band</w:t>
            </w:r>
          </w:p>
        </w:tc>
        <w:tc>
          <w:tcPr>
            <w:tcW w:w="1204" w:type="dxa"/>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DL</w:t>
            </w:r>
          </w:p>
        </w:tc>
        <w:tc>
          <w:tcPr>
            <w:tcW w:w="2484" w:type="dxa"/>
            <w:noWrap w:val="0"/>
            <w:vAlign w:val="top"/>
          </w:tcPr>
          <w:p>
            <w:pPr>
              <w:pStyle w:val="40"/>
              <w:numPr>
                <w:ilvl w:val="0"/>
                <w:numId w:val="0"/>
              </w:numPr>
              <w:suppressLineNumbers w:val="0"/>
              <w:spacing w:before="0" w:beforeAutospacing="0" w:afterAutospacing="0"/>
              <w:ind w:left="0" w:leftChars="0" w:right="0" w:firstLine="360" w:firstLineChars="200"/>
              <w:rPr>
                <w:rFonts w:hint="eastAsia"/>
                <w:lang w:val="en-US" w:eastAsia="zh-CN"/>
              </w:rPr>
            </w:pPr>
            <w:r>
              <w:rPr>
                <w:rFonts w:hint="eastAsia"/>
                <w:lang w:val="en-US" w:eastAsia="zh-CN"/>
              </w:rPr>
              <w:t>UL</w:t>
            </w:r>
          </w:p>
        </w:tc>
        <w:tc>
          <w:tcPr>
            <w:tcW w:w="4657" w:type="dxa"/>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To check the impacts of A-IoT CW signal and backscattering signal on legacy TN 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shd w:val="clear" w:color="auto" w:fill="DCE6F2" w:themeFill="accent1" w:themeFillTint="32"/>
            <w:noWrap w:val="0"/>
            <w:vAlign w:val="top"/>
          </w:tcPr>
          <w:p>
            <w:pPr>
              <w:pStyle w:val="39"/>
              <w:suppressLineNumbers w:val="0"/>
              <w:spacing w:before="0" w:beforeAutospacing="0" w:afterAutospacing="0"/>
              <w:ind w:left="0" w:right="0"/>
              <w:rPr>
                <w:rFonts w:hint="eastAsia" w:eastAsia="宋体"/>
                <w:lang w:val="en-US" w:eastAsia="zh-CN"/>
              </w:rPr>
            </w:pPr>
            <w:r>
              <w:rPr>
                <w:rFonts w:hint="eastAsia" w:eastAsia="宋体"/>
                <w:lang w:val="en-US" w:eastAsia="zh-CN"/>
              </w:rPr>
              <w:t>Case 1-2</w:t>
            </w:r>
          </w:p>
        </w:tc>
        <w:tc>
          <w:tcPr>
            <w:tcW w:w="851" w:type="dxa"/>
            <w:shd w:val="clear" w:color="auto" w:fill="DCE6F2" w:themeFill="accent1" w:themeFillTint="32"/>
            <w:noWrap w:val="0"/>
            <w:vAlign w:val="top"/>
          </w:tcPr>
          <w:p>
            <w:pPr>
              <w:pStyle w:val="39"/>
              <w:suppressLineNumbers w:val="0"/>
              <w:spacing w:before="0" w:beforeAutospacing="0" w:afterAutospacing="0"/>
              <w:ind w:left="0" w:right="0"/>
              <w:rPr>
                <w:rFonts w:hint="default" w:eastAsia="宋体"/>
                <w:lang w:val="en-US" w:eastAsia="zh-CN"/>
              </w:rPr>
            </w:pPr>
            <w:r>
              <w:rPr>
                <w:rFonts w:hint="eastAsia" w:eastAsia="宋体"/>
                <w:lang w:val="en-US" w:eastAsia="zh-CN"/>
              </w:rPr>
              <w:t>5</w:t>
            </w:r>
          </w:p>
        </w:tc>
        <w:tc>
          <w:tcPr>
            <w:tcW w:w="1240" w:type="dxa"/>
            <w:shd w:val="clear" w:color="auto" w:fill="DCE6F2" w:themeFill="accent1" w:themeFillTint="32"/>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 xml:space="preserve">Legacy </w:t>
            </w:r>
            <w:r>
              <w:rPr>
                <w:rFonts w:hint="eastAsia"/>
              </w:rPr>
              <w:t xml:space="preserve">TN </w:t>
            </w:r>
            <w:r>
              <w:rPr>
                <w:rFonts w:hint="eastAsia" w:eastAsia="宋体"/>
                <w:lang w:val="en-US" w:eastAsia="zh-CN"/>
              </w:rPr>
              <w:t>U</w:t>
            </w:r>
            <w:r>
              <w:rPr>
                <w:rFonts w:hint="eastAsia"/>
              </w:rPr>
              <w:t>L</w:t>
            </w:r>
          </w:p>
        </w:tc>
        <w:tc>
          <w:tcPr>
            <w:tcW w:w="1078" w:type="dxa"/>
            <w:shd w:val="clear" w:color="auto" w:fill="DCE6F2" w:themeFill="accent1" w:themeFillTint="32"/>
            <w:noWrap w:val="0"/>
            <w:vAlign w:val="top"/>
          </w:tcPr>
          <w:p>
            <w:pPr>
              <w:pStyle w:val="39"/>
              <w:suppressLineNumbers w:val="0"/>
              <w:spacing w:before="0" w:beforeAutospacing="0" w:afterAutospacing="0"/>
              <w:ind w:left="0" w:right="0"/>
              <w:rPr>
                <w:rFonts w:hint="default" w:eastAsia="宋体"/>
                <w:lang w:val="en-US" w:eastAsia="zh-CN"/>
              </w:rPr>
            </w:pPr>
            <w:r>
              <w:rPr>
                <w:rFonts w:hint="eastAsia"/>
                <w:lang w:val="en-US" w:eastAsia="zh-CN"/>
              </w:rPr>
              <w:t>A-IoT</w:t>
            </w:r>
            <w:r>
              <w:rPr>
                <w:rFonts w:hint="eastAsia"/>
              </w:rPr>
              <w:t xml:space="preserve"> </w:t>
            </w:r>
            <w:r>
              <w:rPr>
                <w:rFonts w:hint="eastAsia" w:eastAsia="宋体"/>
                <w:lang w:val="en-US" w:eastAsia="zh-CN"/>
              </w:rPr>
              <w:t>Device</w:t>
            </w:r>
          </w:p>
        </w:tc>
        <w:tc>
          <w:tcPr>
            <w:tcW w:w="1560" w:type="dxa"/>
            <w:shd w:val="clear" w:color="auto" w:fill="DCE6F2" w:themeFill="accent1" w:themeFillTint="32"/>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In-band/guard band</w:t>
            </w:r>
          </w:p>
        </w:tc>
        <w:tc>
          <w:tcPr>
            <w:tcW w:w="1204" w:type="dxa"/>
            <w:shd w:val="clear" w:color="auto" w:fill="DCE6F2" w:themeFill="accent1" w:themeFillTint="32"/>
            <w:noWrap w:val="0"/>
            <w:vAlign w:val="top"/>
          </w:tcPr>
          <w:p>
            <w:pPr>
              <w:pStyle w:val="39"/>
              <w:suppressLineNumbers w:val="0"/>
              <w:spacing w:before="0" w:beforeAutospacing="0" w:afterAutospacing="0"/>
              <w:ind w:left="0" w:right="0"/>
              <w:rPr>
                <w:rFonts w:hint="default"/>
                <w:lang w:val="en-US" w:eastAsia="zh-CN"/>
              </w:rPr>
            </w:pPr>
            <w:r>
              <w:rPr>
                <w:rFonts w:hint="eastAsia"/>
                <w:lang w:val="en-US" w:eastAsia="zh-CN"/>
              </w:rPr>
              <w:t>UL</w:t>
            </w:r>
          </w:p>
          <w:p>
            <w:pPr>
              <w:pStyle w:val="39"/>
              <w:suppressLineNumbers w:val="0"/>
              <w:spacing w:before="0" w:beforeAutospacing="0" w:afterAutospacing="0"/>
              <w:ind w:left="0" w:right="0"/>
              <w:rPr>
                <w:rFonts w:hint="eastAsia"/>
                <w:lang w:val="en-US" w:eastAsia="zh-CN"/>
              </w:rPr>
            </w:pPr>
          </w:p>
        </w:tc>
        <w:tc>
          <w:tcPr>
            <w:tcW w:w="2484" w:type="dxa"/>
            <w:shd w:val="clear" w:color="auto" w:fill="DCE6F2" w:themeFill="accent1" w:themeFillTint="32"/>
            <w:noWrap w:val="0"/>
            <w:vAlign w:val="top"/>
          </w:tcPr>
          <w:p>
            <w:pPr>
              <w:pStyle w:val="40"/>
              <w:numPr>
                <w:ilvl w:val="0"/>
                <w:numId w:val="0"/>
              </w:numPr>
              <w:suppressLineNumbers w:val="0"/>
              <w:spacing w:before="0" w:beforeAutospacing="0" w:afterAutospacing="0"/>
              <w:ind w:left="0" w:leftChars="0" w:right="0"/>
              <w:rPr>
                <w:rFonts w:hint="default"/>
                <w:lang w:val="en-US" w:eastAsia="zh-CN"/>
              </w:rPr>
            </w:pPr>
            <w:r>
              <w:rPr>
                <w:rFonts w:hint="eastAsia"/>
                <w:lang w:val="en-US" w:eastAsia="zh-CN"/>
              </w:rPr>
              <w:t xml:space="preserve">     UL</w:t>
            </w:r>
          </w:p>
        </w:tc>
        <w:tc>
          <w:tcPr>
            <w:tcW w:w="4657" w:type="dxa"/>
            <w:shd w:val="clear" w:color="auto" w:fill="DCE6F2" w:themeFill="accent1" w:themeFillTint="32"/>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To check ACS requirement of A-IoT device for OOK signal decoding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shd w:val="clear" w:color="auto" w:fill="DCE6F2" w:themeFill="accent1" w:themeFillTint="32"/>
            <w:noWrap w:val="0"/>
            <w:vAlign w:val="top"/>
          </w:tcPr>
          <w:p>
            <w:pPr>
              <w:pStyle w:val="39"/>
              <w:suppressLineNumbers w:val="0"/>
              <w:spacing w:before="0" w:beforeAutospacing="0" w:afterAutospacing="0"/>
              <w:ind w:left="0" w:right="0"/>
              <w:rPr>
                <w:rFonts w:hint="eastAsia" w:eastAsia="宋体"/>
                <w:lang w:val="en-US" w:eastAsia="zh-CN"/>
              </w:rPr>
            </w:pPr>
            <w:r>
              <w:rPr>
                <w:rFonts w:hint="eastAsia" w:eastAsia="宋体"/>
                <w:lang w:val="en-US" w:eastAsia="zh-CN"/>
              </w:rPr>
              <w:t>Case 1-2</w:t>
            </w:r>
          </w:p>
        </w:tc>
        <w:tc>
          <w:tcPr>
            <w:tcW w:w="851" w:type="dxa"/>
            <w:shd w:val="clear" w:color="auto" w:fill="DCE6F2" w:themeFill="accent1" w:themeFillTint="32"/>
            <w:noWrap w:val="0"/>
            <w:vAlign w:val="top"/>
          </w:tcPr>
          <w:p>
            <w:pPr>
              <w:pStyle w:val="39"/>
              <w:suppressLineNumbers w:val="0"/>
              <w:spacing w:before="0" w:beforeAutospacing="0" w:afterAutospacing="0"/>
              <w:ind w:left="0" w:right="0"/>
              <w:rPr>
                <w:rFonts w:hint="default" w:eastAsia="宋体"/>
                <w:lang w:val="en-US" w:eastAsia="zh-CN"/>
              </w:rPr>
            </w:pPr>
            <w:r>
              <w:rPr>
                <w:rFonts w:hint="eastAsia" w:eastAsia="宋体"/>
                <w:lang w:val="en-US" w:eastAsia="zh-CN"/>
              </w:rPr>
              <w:t>6</w:t>
            </w:r>
          </w:p>
        </w:tc>
        <w:tc>
          <w:tcPr>
            <w:tcW w:w="1240" w:type="dxa"/>
            <w:shd w:val="clear" w:color="auto" w:fill="DCE6F2" w:themeFill="accent1" w:themeFillTint="32"/>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 xml:space="preserve">Legacy </w:t>
            </w:r>
            <w:r>
              <w:rPr>
                <w:rFonts w:hint="eastAsia"/>
              </w:rPr>
              <w:t xml:space="preserve">TN </w:t>
            </w:r>
            <w:r>
              <w:rPr>
                <w:rFonts w:hint="eastAsia" w:eastAsia="宋体"/>
                <w:lang w:val="en-US" w:eastAsia="zh-CN"/>
              </w:rPr>
              <w:t>U</w:t>
            </w:r>
            <w:r>
              <w:rPr>
                <w:rFonts w:hint="eastAsia"/>
              </w:rPr>
              <w:t>L</w:t>
            </w:r>
          </w:p>
        </w:tc>
        <w:tc>
          <w:tcPr>
            <w:tcW w:w="1078" w:type="dxa"/>
            <w:shd w:val="clear" w:color="auto" w:fill="DCE6F2" w:themeFill="accent1" w:themeFillTint="32"/>
            <w:noWrap w:val="0"/>
            <w:vAlign w:val="top"/>
          </w:tcPr>
          <w:p>
            <w:pPr>
              <w:pStyle w:val="39"/>
              <w:suppressLineNumbers w:val="0"/>
              <w:spacing w:before="0" w:beforeAutospacing="0" w:afterAutospacing="0"/>
              <w:ind w:left="0" w:right="0"/>
              <w:rPr>
                <w:rFonts w:hint="default" w:eastAsia="宋体"/>
                <w:lang w:val="en-US" w:eastAsia="zh-CN"/>
              </w:rPr>
            </w:pPr>
            <w:r>
              <w:rPr>
                <w:rFonts w:hint="eastAsia"/>
                <w:lang w:val="en-US" w:eastAsia="zh-CN"/>
              </w:rPr>
              <w:t>A-IoT</w:t>
            </w:r>
            <w:r>
              <w:rPr>
                <w:rFonts w:hint="eastAsia"/>
              </w:rPr>
              <w:t xml:space="preserve"> </w:t>
            </w:r>
            <w:r>
              <w:rPr>
                <w:rFonts w:hint="eastAsia" w:eastAsia="宋体"/>
                <w:lang w:val="en-US" w:eastAsia="zh-CN"/>
              </w:rPr>
              <w:t>BS</w:t>
            </w:r>
          </w:p>
        </w:tc>
        <w:tc>
          <w:tcPr>
            <w:tcW w:w="1560" w:type="dxa"/>
            <w:shd w:val="clear" w:color="auto" w:fill="DCE6F2" w:themeFill="accent1" w:themeFillTint="32"/>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In-band/guard band</w:t>
            </w:r>
          </w:p>
        </w:tc>
        <w:tc>
          <w:tcPr>
            <w:tcW w:w="1204" w:type="dxa"/>
            <w:shd w:val="clear" w:color="auto" w:fill="DCE6F2" w:themeFill="accent1" w:themeFillTint="32"/>
            <w:noWrap w:val="0"/>
            <w:vAlign w:val="top"/>
          </w:tcPr>
          <w:p>
            <w:pPr>
              <w:pStyle w:val="39"/>
              <w:suppressLineNumbers w:val="0"/>
              <w:spacing w:before="0" w:beforeAutospacing="0" w:afterAutospacing="0"/>
              <w:ind w:left="0" w:right="0"/>
              <w:rPr>
                <w:rFonts w:hint="default"/>
                <w:lang w:val="en-US" w:eastAsia="zh-CN"/>
              </w:rPr>
            </w:pPr>
            <w:r>
              <w:rPr>
                <w:rFonts w:hint="eastAsia"/>
                <w:lang w:val="en-US" w:eastAsia="zh-CN"/>
              </w:rPr>
              <w:t>UL</w:t>
            </w:r>
          </w:p>
        </w:tc>
        <w:tc>
          <w:tcPr>
            <w:tcW w:w="2484" w:type="dxa"/>
            <w:shd w:val="clear" w:color="auto" w:fill="DCE6F2" w:themeFill="accent1" w:themeFillTint="32"/>
            <w:noWrap w:val="0"/>
            <w:vAlign w:val="top"/>
          </w:tcPr>
          <w:p>
            <w:pPr>
              <w:pStyle w:val="40"/>
              <w:numPr>
                <w:ilvl w:val="0"/>
                <w:numId w:val="0"/>
              </w:numPr>
              <w:suppressLineNumbers w:val="0"/>
              <w:spacing w:before="0" w:beforeAutospacing="0" w:afterAutospacing="0"/>
              <w:ind w:left="0" w:leftChars="0" w:right="0" w:firstLine="0" w:firstLineChars="0"/>
              <w:rPr>
                <w:rFonts w:hint="eastAsia"/>
                <w:lang w:val="en-US" w:eastAsia="zh-CN"/>
              </w:rPr>
            </w:pPr>
            <w:r>
              <w:rPr>
                <w:rFonts w:hint="eastAsia"/>
                <w:lang w:val="en-US" w:eastAsia="zh-CN"/>
              </w:rPr>
              <w:t xml:space="preserve">    UL</w:t>
            </w:r>
          </w:p>
        </w:tc>
        <w:tc>
          <w:tcPr>
            <w:tcW w:w="4657" w:type="dxa"/>
            <w:shd w:val="clear" w:color="auto" w:fill="DCE6F2" w:themeFill="accent1" w:themeFillTint="32"/>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To check ACS requirement of A-IoT BS for b</w:t>
            </w:r>
            <w:r>
              <w:rPr>
                <w:rFonts w:hint="eastAsia" w:eastAsia="宋体"/>
                <w:lang w:val="en-US" w:eastAsia="zh-CN"/>
              </w:rPr>
              <w:t>ackscattering</w:t>
            </w:r>
            <w:r>
              <w:rPr>
                <w:rFonts w:hint="eastAsia"/>
                <w:lang w:val="en-US" w:eastAsia="zh-CN"/>
              </w:rPr>
              <w:t xml:space="preserve"> signal detection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shd w:val="clear" w:color="auto" w:fill="DCE6F2" w:themeFill="accent1" w:themeFillTint="32"/>
            <w:noWrap w:val="0"/>
            <w:vAlign w:val="top"/>
          </w:tcPr>
          <w:p>
            <w:pPr>
              <w:pStyle w:val="39"/>
              <w:suppressLineNumbers w:val="0"/>
              <w:spacing w:before="0" w:beforeAutospacing="0" w:afterAutospacing="0"/>
              <w:ind w:left="0" w:right="0"/>
              <w:rPr>
                <w:rFonts w:hint="eastAsia" w:eastAsia="宋体"/>
                <w:lang w:val="en-US" w:eastAsia="zh-CN"/>
              </w:rPr>
            </w:pPr>
            <w:r>
              <w:rPr>
                <w:rFonts w:hint="eastAsia" w:eastAsia="宋体"/>
                <w:lang w:val="en-US" w:eastAsia="zh-CN"/>
              </w:rPr>
              <w:t>Case 1-2</w:t>
            </w:r>
          </w:p>
        </w:tc>
        <w:tc>
          <w:tcPr>
            <w:tcW w:w="851" w:type="dxa"/>
            <w:shd w:val="clear" w:color="auto" w:fill="DCE6F2" w:themeFill="accent1" w:themeFillTint="32"/>
            <w:noWrap w:val="0"/>
            <w:vAlign w:val="top"/>
          </w:tcPr>
          <w:p>
            <w:pPr>
              <w:pStyle w:val="39"/>
              <w:suppressLineNumbers w:val="0"/>
              <w:spacing w:before="0" w:beforeAutospacing="0" w:afterAutospacing="0"/>
              <w:ind w:left="0" w:right="0"/>
              <w:rPr>
                <w:rFonts w:hint="default" w:eastAsia="宋体"/>
                <w:lang w:val="en-US" w:eastAsia="zh-CN"/>
              </w:rPr>
            </w:pPr>
            <w:r>
              <w:rPr>
                <w:rFonts w:hint="eastAsia" w:eastAsia="宋体"/>
                <w:lang w:val="en-US" w:eastAsia="zh-CN"/>
              </w:rPr>
              <w:t>7</w:t>
            </w:r>
          </w:p>
        </w:tc>
        <w:tc>
          <w:tcPr>
            <w:tcW w:w="1240" w:type="dxa"/>
            <w:shd w:val="clear" w:color="auto" w:fill="DCE6F2" w:themeFill="accent1" w:themeFillTint="32"/>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A-IoT</w:t>
            </w:r>
            <w:r>
              <w:rPr>
                <w:rFonts w:hint="eastAsia"/>
              </w:rPr>
              <w:t xml:space="preserve"> </w:t>
            </w:r>
            <w:r>
              <w:rPr>
                <w:rFonts w:hint="eastAsia" w:eastAsia="宋体"/>
                <w:lang w:val="en-US" w:eastAsia="zh-CN"/>
              </w:rPr>
              <w:t>UL</w:t>
            </w:r>
          </w:p>
        </w:tc>
        <w:tc>
          <w:tcPr>
            <w:tcW w:w="1078" w:type="dxa"/>
            <w:shd w:val="clear" w:color="auto" w:fill="DCE6F2" w:themeFill="accent1" w:themeFillTint="32"/>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 xml:space="preserve">Legacy </w:t>
            </w:r>
            <w:r>
              <w:rPr>
                <w:rFonts w:hint="eastAsia"/>
              </w:rPr>
              <w:t xml:space="preserve">TN </w:t>
            </w:r>
            <w:r>
              <w:rPr>
                <w:rFonts w:hint="eastAsia" w:eastAsia="宋体"/>
                <w:lang w:val="en-US" w:eastAsia="zh-CN"/>
              </w:rPr>
              <w:t>UL</w:t>
            </w:r>
          </w:p>
        </w:tc>
        <w:tc>
          <w:tcPr>
            <w:tcW w:w="1560" w:type="dxa"/>
            <w:shd w:val="clear" w:color="auto" w:fill="DCE6F2" w:themeFill="accent1" w:themeFillTint="32"/>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In-band/guard band</w:t>
            </w:r>
          </w:p>
        </w:tc>
        <w:tc>
          <w:tcPr>
            <w:tcW w:w="1204" w:type="dxa"/>
            <w:shd w:val="clear" w:color="auto" w:fill="DCE6F2" w:themeFill="accent1" w:themeFillTint="32"/>
            <w:noWrap w:val="0"/>
            <w:vAlign w:val="top"/>
          </w:tcPr>
          <w:p>
            <w:pPr>
              <w:pStyle w:val="39"/>
              <w:suppressLineNumbers w:val="0"/>
              <w:spacing w:before="0" w:beforeAutospacing="0" w:afterAutospacing="0"/>
              <w:ind w:left="0" w:right="0"/>
              <w:rPr>
                <w:rFonts w:hint="default"/>
                <w:lang w:val="en-US" w:eastAsia="zh-CN"/>
              </w:rPr>
            </w:pPr>
            <w:r>
              <w:rPr>
                <w:rFonts w:hint="eastAsia"/>
                <w:lang w:val="en-US" w:eastAsia="zh-CN"/>
              </w:rPr>
              <w:t>UL</w:t>
            </w:r>
          </w:p>
        </w:tc>
        <w:tc>
          <w:tcPr>
            <w:tcW w:w="2484" w:type="dxa"/>
            <w:shd w:val="clear" w:color="auto" w:fill="DCE6F2" w:themeFill="accent1" w:themeFillTint="32"/>
            <w:noWrap w:val="0"/>
            <w:vAlign w:val="top"/>
          </w:tcPr>
          <w:p>
            <w:pPr>
              <w:pStyle w:val="40"/>
              <w:numPr>
                <w:ilvl w:val="0"/>
                <w:numId w:val="0"/>
              </w:numPr>
              <w:suppressLineNumbers w:val="0"/>
              <w:spacing w:before="0" w:beforeAutospacing="0" w:afterAutospacing="0"/>
              <w:ind w:left="0" w:leftChars="0" w:right="0" w:firstLine="360" w:firstLineChars="200"/>
              <w:rPr>
                <w:rFonts w:hint="eastAsia"/>
                <w:lang w:val="en-US" w:eastAsia="zh-CN"/>
              </w:rPr>
            </w:pPr>
            <w:r>
              <w:rPr>
                <w:rFonts w:hint="eastAsia"/>
                <w:lang w:val="en-US" w:eastAsia="zh-CN"/>
              </w:rPr>
              <w:t>UL</w:t>
            </w:r>
          </w:p>
        </w:tc>
        <w:tc>
          <w:tcPr>
            <w:tcW w:w="4657" w:type="dxa"/>
            <w:shd w:val="clear" w:color="auto" w:fill="DCE6F2" w:themeFill="accent1" w:themeFillTint="32"/>
            <w:noWrap w:val="0"/>
            <w:vAlign w:val="top"/>
          </w:tcPr>
          <w:p>
            <w:pPr>
              <w:pStyle w:val="39"/>
              <w:suppressLineNumbers w:val="0"/>
              <w:spacing w:before="0" w:beforeAutospacing="0" w:afterAutospacing="0"/>
              <w:ind w:left="0" w:right="0"/>
              <w:rPr>
                <w:rFonts w:hint="default"/>
                <w:lang w:val="en-US" w:eastAsia="zh-CN"/>
              </w:rPr>
            </w:pPr>
            <w:r>
              <w:rPr>
                <w:rFonts w:hint="eastAsia"/>
                <w:lang w:val="en-US" w:eastAsia="zh-CN"/>
              </w:rPr>
              <w:t>To check the impacts of inventory command, CW and backscattering signal on legacy BS receiver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noWrap w:val="0"/>
            <w:vAlign w:val="top"/>
          </w:tcPr>
          <w:p>
            <w:pPr>
              <w:pStyle w:val="39"/>
              <w:suppressLineNumbers w:val="0"/>
              <w:spacing w:before="0" w:beforeAutospacing="0" w:afterAutospacing="0"/>
              <w:ind w:left="0" w:right="0"/>
              <w:rPr>
                <w:rFonts w:hint="default" w:eastAsia="宋体"/>
                <w:lang w:val="en-US" w:eastAsia="zh-CN"/>
              </w:rPr>
            </w:pPr>
            <w:r>
              <w:rPr>
                <w:rFonts w:hint="eastAsia" w:eastAsia="宋体"/>
                <w:lang w:val="en-US" w:eastAsia="zh-CN"/>
              </w:rPr>
              <w:t>Case 1-4</w:t>
            </w:r>
          </w:p>
        </w:tc>
        <w:tc>
          <w:tcPr>
            <w:tcW w:w="851" w:type="dxa"/>
            <w:noWrap w:val="0"/>
            <w:vAlign w:val="top"/>
          </w:tcPr>
          <w:p>
            <w:pPr>
              <w:pStyle w:val="39"/>
              <w:suppressLineNumbers w:val="0"/>
              <w:spacing w:before="0" w:beforeAutospacing="0" w:afterAutospacing="0"/>
              <w:ind w:left="0" w:right="0"/>
              <w:rPr>
                <w:rFonts w:hint="default" w:eastAsia="宋体"/>
                <w:lang w:val="en-US" w:eastAsia="zh-CN"/>
              </w:rPr>
            </w:pPr>
            <w:r>
              <w:rPr>
                <w:rFonts w:hint="eastAsia" w:eastAsia="宋体"/>
                <w:lang w:val="en-US" w:eastAsia="zh-CN"/>
              </w:rPr>
              <w:t>8</w:t>
            </w:r>
          </w:p>
        </w:tc>
        <w:tc>
          <w:tcPr>
            <w:tcW w:w="1240" w:type="dxa"/>
            <w:noWrap w:val="0"/>
            <w:vAlign w:val="top"/>
          </w:tcPr>
          <w:p>
            <w:pPr>
              <w:pStyle w:val="39"/>
              <w:suppressLineNumbers w:val="0"/>
              <w:spacing w:before="0" w:beforeAutospacing="0" w:afterAutospacing="0"/>
              <w:ind w:left="0" w:right="0"/>
              <w:rPr>
                <w:rFonts w:hint="default"/>
              </w:rPr>
            </w:pPr>
            <w:r>
              <w:rPr>
                <w:rFonts w:hint="eastAsia"/>
                <w:lang w:val="en-US" w:eastAsia="zh-CN"/>
              </w:rPr>
              <w:t xml:space="preserve">Legacy </w:t>
            </w:r>
            <w:r>
              <w:rPr>
                <w:rFonts w:hint="eastAsia"/>
              </w:rPr>
              <w:t>TN DL</w:t>
            </w:r>
          </w:p>
        </w:tc>
        <w:tc>
          <w:tcPr>
            <w:tcW w:w="1078" w:type="dxa"/>
            <w:noWrap w:val="0"/>
            <w:vAlign w:val="top"/>
          </w:tcPr>
          <w:p>
            <w:pPr>
              <w:pStyle w:val="39"/>
              <w:suppressLineNumbers w:val="0"/>
              <w:spacing w:before="0" w:beforeAutospacing="0" w:afterAutospacing="0"/>
              <w:ind w:left="0" w:right="0"/>
              <w:rPr>
                <w:rFonts w:hint="default" w:eastAsia="宋体"/>
                <w:lang w:val="en-US" w:eastAsia="zh-CN"/>
              </w:rPr>
            </w:pPr>
            <w:r>
              <w:rPr>
                <w:rFonts w:hint="eastAsia"/>
                <w:lang w:val="en-US" w:eastAsia="zh-CN"/>
              </w:rPr>
              <w:t>A-IoT</w:t>
            </w:r>
            <w:r>
              <w:rPr>
                <w:rFonts w:hint="eastAsia"/>
              </w:rPr>
              <w:t xml:space="preserve"> </w:t>
            </w:r>
            <w:r>
              <w:rPr>
                <w:rFonts w:hint="eastAsia" w:eastAsia="宋体"/>
                <w:lang w:val="en-US" w:eastAsia="zh-CN"/>
              </w:rPr>
              <w:t>DL</w:t>
            </w:r>
          </w:p>
        </w:tc>
        <w:tc>
          <w:tcPr>
            <w:tcW w:w="1560" w:type="dxa"/>
            <w:noWrap w:val="0"/>
            <w:vAlign w:val="top"/>
          </w:tcPr>
          <w:p>
            <w:pPr>
              <w:pStyle w:val="39"/>
              <w:suppressLineNumbers w:val="0"/>
              <w:spacing w:before="0" w:beforeAutospacing="0" w:afterAutospacing="0"/>
              <w:ind w:left="0" w:right="0"/>
              <w:rPr>
                <w:rFonts w:hint="default"/>
                <w:lang w:val="en-US" w:eastAsia="zh-CN"/>
              </w:rPr>
            </w:pPr>
            <w:r>
              <w:rPr>
                <w:rFonts w:hint="eastAsia"/>
                <w:lang w:val="en-US" w:eastAsia="zh-CN"/>
              </w:rPr>
              <w:t>In-band/guard band</w:t>
            </w:r>
          </w:p>
        </w:tc>
        <w:tc>
          <w:tcPr>
            <w:tcW w:w="1204" w:type="dxa"/>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DL</w:t>
            </w:r>
          </w:p>
          <w:p>
            <w:pPr>
              <w:pStyle w:val="39"/>
              <w:suppressLineNumbers w:val="0"/>
              <w:spacing w:before="0" w:beforeAutospacing="0" w:afterAutospacing="0"/>
              <w:ind w:left="0" w:right="0"/>
              <w:rPr>
                <w:rFonts w:hint="eastAsia"/>
                <w:lang w:val="en-US" w:eastAsia="zh-CN"/>
              </w:rPr>
            </w:pPr>
          </w:p>
          <w:p>
            <w:pPr>
              <w:pStyle w:val="39"/>
              <w:suppressLineNumbers w:val="0"/>
              <w:spacing w:before="0" w:beforeAutospacing="0" w:afterAutospacing="0"/>
              <w:ind w:left="0" w:right="0"/>
              <w:rPr>
                <w:rFonts w:hint="default"/>
                <w:lang w:val="en-US" w:eastAsia="zh-CN"/>
              </w:rPr>
            </w:pPr>
          </w:p>
        </w:tc>
        <w:tc>
          <w:tcPr>
            <w:tcW w:w="2484" w:type="dxa"/>
            <w:noWrap w:val="0"/>
            <w:vAlign w:val="top"/>
          </w:tcPr>
          <w:p>
            <w:pPr>
              <w:pStyle w:val="40"/>
              <w:numPr>
                <w:ilvl w:val="0"/>
                <w:numId w:val="0"/>
              </w:numPr>
              <w:suppressLineNumbers w:val="0"/>
              <w:spacing w:before="0" w:beforeAutospacing="0" w:afterAutospacing="0"/>
              <w:ind w:left="0" w:leftChars="0" w:right="0"/>
              <w:rPr>
                <w:rFonts w:hint="eastAsia"/>
                <w:lang w:val="en-US" w:eastAsia="zh-CN"/>
              </w:rPr>
            </w:pPr>
            <w:r>
              <w:rPr>
                <w:rFonts w:hint="eastAsia"/>
                <w:lang w:val="en-US" w:eastAsia="zh-CN"/>
              </w:rPr>
              <w:t xml:space="preserve">     UL</w:t>
            </w:r>
          </w:p>
          <w:p>
            <w:pPr>
              <w:pStyle w:val="40"/>
              <w:numPr>
                <w:ilvl w:val="0"/>
                <w:numId w:val="0"/>
              </w:numPr>
              <w:suppressLineNumbers w:val="0"/>
              <w:spacing w:before="0" w:beforeAutospacing="0" w:afterAutospacing="0"/>
              <w:ind w:left="0" w:leftChars="0" w:right="0"/>
              <w:rPr>
                <w:rFonts w:hint="default"/>
                <w:lang w:val="en-US" w:eastAsia="zh-CN"/>
              </w:rPr>
            </w:pPr>
          </w:p>
        </w:tc>
        <w:tc>
          <w:tcPr>
            <w:tcW w:w="4657" w:type="dxa"/>
            <w:noWrap w:val="0"/>
            <w:vAlign w:val="top"/>
          </w:tcPr>
          <w:p>
            <w:pPr>
              <w:pStyle w:val="39"/>
              <w:suppressLineNumbers w:val="0"/>
              <w:spacing w:before="0" w:beforeAutospacing="0" w:afterAutospacing="0"/>
              <w:ind w:left="0" w:right="0"/>
              <w:rPr>
                <w:rFonts w:hint="default" w:eastAsia="宋体"/>
                <w:lang w:val="en-US" w:eastAsia="zh-CN"/>
              </w:rPr>
            </w:pPr>
            <w:r>
              <w:rPr>
                <w:rFonts w:hint="eastAsia"/>
                <w:lang w:val="en-US" w:eastAsia="zh-CN"/>
              </w:rPr>
              <w:t>To check ACS requirement of A-IoT device for OOK signal decoding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noWrap w:val="0"/>
            <w:vAlign w:val="top"/>
          </w:tcPr>
          <w:p>
            <w:pPr>
              <w:pStyle w:val="39"/>
              <w:suppressLineNumbers w:val="0"/>
              <w:spacing w:before="0" w:beforeAutospacing="0" w:afterAutospacing="0"/>
              <w:ind w:left="0" w:right="0"/>
              <w:rPr>
                <w:rFonts w:hint="default" w:eastAsia="宋体"/>
                <w:lang w:val="en-US" w:eastAsia="zh-CN"/>
              </w:rPr>
            </w:pPr>
            <w:r>
              <w:rPr>
                <w:rFonts w:hint="eastAsia" w:eastAsia="宋体"/>
                <w:lang w:val="en-US" w:eastAsia="zh-CN"/>
              </w:rPr>
              <w:t>Case 1-4</w:t>
            </w:r>
          </w:p>
        </w:tc>
        <w:tc>
          <w:tcPr>
            <w:tcW w:w="851" w:type="dxa"/>
            <w:noWrap w:val="0"/>
            <w:vAlign w:val="top"/>
          </w:tcPr>
          <w:p>
            <w:pPr>
              <w:pStyle w:val="39"/>
              <w:suppressLineNumbers w:val="0"/>
              <w:spacing w:before="0" w:beforeAutospacing="0" w:afterAutospacing="0"/>
              <w:ind w:left="0" w:right="0"/>
              <w:rPr>
                <w:rFonts w:hint="default" w:eastAsia="宋体"/>
                <w:lang w:val="en-US" w:eastAsia="zh-CN"/>
              </w:rPr>
            </w:pPr>
            <w:r>
              <w:rPr>
                <w:rFonts w:hint="eastAsia" w:eastAsia="宋体"/>
                <w:lang w:val="en-US" w:eastAsia="zh-CN"/>
              </w:rPr>
              <w:t>9</w:t>
            </w:r>
          </w:p>
        </w:tc>
        <w:tc>
          <w:tcPr>
            <w:tcW w:w="1240" w:type="dxa"/>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A-IoT</w:t>
            </w:r>
            <w:r>
              <w:rPr>
                <w:rFonts w:hint="eastAsia"/>
              </w:rPr>
              <w:t xml:space="preserve"> DL</w:t>
            </w:r>
          </w:p>
        </w:tc>
        <w:tc>
          <w:tcPr>
            <w:tcW w:w="1078" w:type="dxa"/>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 xml:space="preserve">Legacy </w:t>
            </w:r>
            <w:r>
              <w:rPr>
                <w:rFonts w:hint="eastAsia"/>
              </w:rPr>
              <w:t>TN DL</w:t>
            </w:r>
          </w:p>
        </w:tc>
        <w:tc>
          <w:tcPr>
            <w:tcW w:w="1560" w:type="dxa"/>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In-band/guard band</w:t>
            </w:r>
          </w:p>
        </w:tc>
        <w:tc>
          <w:tcPr>
            <w:tcW w:w="1204" w:type="dxa"/>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DL</w:t>
            </w:r>
          </w:p>
          <w:p>
            <w:pPr>
              <w:pStyle w:val="39"/>
              <w:suppressLineNumbers w:val="0"/>
              <w:spacing w:before="0" w:beforeAutospacing="0" w:afterAutospacing="0"/>
              <w:ind w:left="0" w:right="0"/>
              <w:rPr>
                <w:rFonts w:hint="eastAsia"/>
                <w:lang w:val="en-US" w:eastAsia="zh-CN"/>
              </w:rPr>
            </w:pPr>
          </w:p>
        </w:tc>
        <w:tc>
          <w:tcPr>
            <w:tcW w:w="2484" w:type="dxa"/>
            <w:noWrap w:val="0"/>
            <w:vAlign w:val="top"/>
          </w:tcPr>
          <w:p>
            <w:pPr>
              <w:pStyle w:val="40"/>
              <w:numPr>
                <w:ilvl w:val="0"/>
                <w:numId w:val="0"/>
              </w:numPr>
              <w:suppressLineNumbers w:val="0"/>
              <w:spacing w:before="0" w:beforeAutospacing="0" w:afterAutospacing="0"/>
              <w:ind w:left="0" w:leftChars="0" w:right="0"/>
              <w:rPr>
                <w:rFonts w:hint="eastAsia"/>
                <w:lang w:val="en-US" w:eastAsia="zh-CN"/>
              </w:rPr>
            </w:pPr>
            <w:r>
              <w:rPr>
                <w:rFonts w:hint="eastAsia"/>
                <w:lang w:val="en-US" w:eastAsia="zh-CN"/>
              </w:rPr>
              <w:t xml:space="preserve">    UL</w:t>
            </w:r>
          </w:p>
        </w:tc>
        <w:tc>
          <w:tcPr>
            <w:tcW w:w="4657" w:type="dxa"/>
            <w:noWrap w:val="0"/>
            <w:vAlign w:val="top"/>
          </w:tcPr>
          <w:p>
            <w:pPr>
              <w:pStyle w:val="39"/>
              <w:suppressLineNumbers w:val="0"/>
              <w:spacing w:before="0" w:beforeAutospacing="0" w:afterAutospacing="0"/>
              <w:ind w:left="0" w:right="0"/>
              <w:rPr>
                <w:rFonts w:hint="default"/>
                <w:lang w:val="en-US" w:eastAsia="zh-CN"/>
              </w:rPr>
            </w:pPr>
            <w:r>
              <w:rPr>
                <w:rFonts w:hint="eastAsia"/>
                <w:lang w:val="en-US" w:eastAsia="zh-CN"/>
              </w:rPr>
              <w:t>To check the ACLR requirement of A-IoT BS 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noWrap w:val="0"/>
            <w:vAlign w:val="top"/>
          </w:tcPr>
          <w:p>
            <w:pPr>
              <w:pStyle w:val="39"/>
              <w:suppressLineNumbers w:val="0"/>
              <w:spacing w:before="0" w:beforeAutospacing="0" w:afterAutospacing="0"/>
              <w:ind w:left="0" w:right="0"/>
              <w:rPr>
                <w:rFonts w:hint="default" w:eastAsia="宋体"/>
                <w:lang w:val="en-US" w:eastAsia="zh-CN"/>
              </w:rPr>
            </w:pPr>
            <w:r>
              <w:rPr>
                <w:rFonts w:hint="eastAsia" w:eastAsia="宋体"/>
                <w:lang w:val="en-US" w:eastAsia="zh-CN"/>
              </w:rPr>
              <w:t>Case 1-4</w:t>
            </w:r>
          </w:p>
        </w:tc>
        <w:tc>
          <w:tcPr>
            <w:tcW w:w="851" w:type="dxa"/>
            <w:noWrap w:val="0"/>
            <w:vAlign w:val="top"/>
          </w:tcPr>
          <w:p>
            <w:pPr>
              <w:pStyle w:val="39"/>
              <w:suppressLineNumbers w:val="0"/>
              <w:spacing w:before="0" w:beforeAutospacing="0" w:afterAutospacing="0"/>
              <w:ind w:left="0" w:right="0"/>
              <w:rPr>
                <w:rFonts w:hint="default" w:eastAsia="宋体"/>
                <w:lang w:val="en-US" w:eastAsia="zh-CN"/>
              </w:rPr>
            </w:pPr>
            <w:r>
              <w:rPr>
                <w:rFonts w:hint="eastAsia" w:eastAsia="宋体"/>
                <w:lang w:val="en-US" w:eastAsia="zh-CN"/>
              </w:rPr>
              <w:t>10</w:t>
            </w:r>
          </w:p>
        </w:tc>
        <w:tc>
          <w:tcPr>
            <w:tcW w:w="1240" w:type="dxa"/>
            <w:noWrap w:val="0"/>
            <w:vAlign w:val="top"/>
          </w:tcPr>
          <w:p>
            <w:pPr>
              <w:pStyle w:val="39"/>
              <w:suppressLineNumbers w:val="0"/>
              <w:spacing w:before="0" w:beforeAutospacing="0" w:afterAutospacing="0"/>
              <w:ind w:left="0" w:right="0"/>
              <w:rPr>
                <w:rFonts w:hint="default" w:eastAsia="宋体"/>
                <w:lang w:val="en-US" w:eastAsia="zh-CN"/>
              </w:rPr>
            </w:pPr>
            <w:r>
              <w:rPr>
                <w:rFonts w:hint="eastAsia"/>
                <w:lang w:val="en-US" w:eastAsia="zh-CN"/>
              </w:rPr>
              <w:t xml:space="preserve">Legacy </w:t>
            </w:r>
            <w:r>
              <w:rPr>
                <w:rFonts w:hint="eastAsia"/>
              </w:rPr>
              <w:t xml:space="preserve">TN </w:t>
            </w:r>
            <w:r>
              <w:rPr>
                <w:rFonts w:hint="eastAsia" w:eastAsia="宋体"/>
                <w:lang w:val="en-US" w:eastAsia="zh-CN"/>
              </w:rPr>
              <w:t>UL</w:t>
            </w:r>
          </w:p>
        </w:tc>
        <w:tc>
          <w:tcPr>
            <w:tcW w:w="1078" w:type="dxa"/>
            <w:noWrap w:val="0"/>
            <w:vAlign w:val="top"/>
          </w:tcPr>
          <w:p>
            <w:pPr>
              <w:pStyle w:val="39"/>
              <w:suppressLineNumbers w:val="0"/>
              <w:spacing w:before="0" w:beforeAutospacing="0" w:afterAutospacing="0"/>
              <w:ind w:left="0" w:right="0"/>
              <w:rPr>
                <w:rFonts w:hint="default" w:eastAsia="宋体"/>
                <w:lang w:val="en-US" w:eastAsia="zh-CN"/>
              </w:rPr>
            </w:pPr>
            <w:r>
              <w:rPr>
                <w:rFonts w:hint="eastAsia"/>
                <w:lang w:val="en-US" w:eastAsia="zh-CN"/>
              </w:rPr>
              <w:t>A-IoT</w:t>
            </w:r>
            <w:r>
              <w:rPr>
                <w:rFonts w:hint="eastAsia"/>
              </w:rPr>
              <w:t xml:space="preserve"> </w:t>
            </w:r>
            <w:r>
              <w:rPr>
                <w:rFonts w:hint="eastAsia" w:eastAsia="宋体"/>
                <w:lang w:val="en-US" w:eastAsia="zh-CN"/>
              </w:rPr>
              <w:t>UL</w:t>
            </w:r>
          </w:p>
        </w:tc>
        <w:tc>
          <w:tcPr>
            <w:tcW w:w="1560" w:type="dxa"/>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In-band/guard band</w:t>
            </w:r>
          </w:p>
        </w:tc>
        <w:tc>
          <w:tcPr>
            <w:tcW w:w="1204" w:type="dxa"/>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DL</w:t>
            </w:r>
          </w:p>
          <w:p>
            <w:pPr>
              <w:pStyle w:val="39"/>
              <w:suppressLineNumbers w:val="0"/>
              <w:spacing w:before="0" w:beforeAutospacing="0" w:afterAutospacing="0"/>
              <w:ind w:left="0" w:right="0"/>
              <w:rPr>
                <w:rFonts w:hint="eastAsia"/>
                <w:lang w:val="en-US" w:eastAsia="zh-CN"/>
              </w:rPr>
            </w:pPr>
          </w:p>
        </w:tc>
        <w:tc>
          <w:tcPr>
            <w:tcW w:w="2484" w:type="dxa"/>
            <w:noWrap w:val="0"/>
            <w:vAlign w:val="top"/>
          </w:tcPr>
          <w:p>
            <w:pPr>
              <w:pStyle w:val="40"/>
              <w:numPr>
                <w:ilvl w:val="0"/>
                <w:numId w:val="0"/>
              </w:numPr>
              <w:suppressLineNumbers w:val="0"/>
              <w:spacing w:before="0" w:beforeAutospacing="0" w:afterAutospacing="0"/>
              <w:ind w:left="0" w:leftChars="0" w:right="0" w:firstLine="360" w:firstLineChars="200"/>
              <w:rPr>
                <w:rFonts w:hint="default"/>
                <w:lang w:val="en-US" w:eastAsia="zh-CN"/>
              </w:rPr>
            </w:pPr>
            <w:r>
              <w:rPr>
                <w:rFonts w:hint="eastAsia"/>
                <w:lang w:val="en-US" w:eastAsia="zh-CN"/>
              </w:rPr>
              <w:t>UL</w:t>
            </w:r>
          </w:p>
        </w:tc>
        <w:tc>
          <w:tcPr>
            <w:tcW w:w="4657" w:type="dxa"/>
            <w:noWrap w:val="0"/>
            <w:vAlign w:val="top"/>
          </w:tcPr>
          <w:p>
            <w:pPr>
              <w:pStyle w:val="39"/>
              <w:suppressLineNumbers w:val="0"/>
              <w:spacing w:before="0" w:beforeAutospacing="0" w:afterAutospacing="0"/>
              <w:ind w:left="0" w:right="0"/>
              <w:rPr>
                <w:rFonts w:hint="default"/>
                <w:lang w:val="en-US" w:eastAsia="zh-CN"/>
              </w:rPr>
            </w:pPr>
            <w:r>
              <w:rPr>
                <w:rFonts w:hint="eastAsia"/>
                <w:lang w:val="en-US" w:eastAsia="zh-CN"/>
              </w:rPr>
              <w:t>To check the ACS requirement of A-IoT BS 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noWrap w:val="0"/>
            <w:vAlign w:val="top"/>
          </w:tcPr>
          <w:p>
            <w:pPr>
              <w:pStyle w:val="39"/>
              <w:suppressLineNumbers w:val="0"/>
              <w:spacing w:before="0" w:beforeAutospacing="0" w:afterAutospacing="0"/>
              <w:ind w:left="0" w:right="0"/>
              <w:rPr>
                <w:rFonts w:hint="default" w:eastAsia="宋体"/>
                <w:lang w:val="en-US" w:eastAsia="zh-CN"/>
              </w:rPr>
            </w:pPr>
            <w:r>
              <w:rPr>
                <w:rFonts w:hint="eastAsia" w:eastAsia="宋体"/>
                <w:lang w:val="en-US" w:eastAsia="zh-CN"/>
              </w:rPr>
              <w:t>Case 1-4</w:t>
            </w:r>
          </w:p>
        </w:tc>
        <w:tc>
          <w:tcPr>
            <w:tcW w:w="851" w:type="dxa"/>
            <w:noWrap w:val="0"/>
            <w:vAlign w:val="top"/>
          </w:tcPr>
          <w:p>
            <w:pPr>
              <w:pStyle w:val="39"/>
              <w:suppressLineNumbers w:val="0"/>
              <w:spacing w:before="0" w:beforeAutospacing="0" w:afterAutospacing="0"/>
              <w:ind w:left="0" w:right="0"/>
              <w:rPr>
                <w:rFonts w:hint="default" w:eastAsia="宋体"/>
                <w:lang w:val="en-US" w:eastAsia="zh-CN"/>
              </w:rPr>
            </w:pPr>
            <w:r>
              <w:rPr>
                <w:rFonts w:hint="eastAsia" w:eastAsia="宋体"/>
                <w:lang w:val="en-US" w:eastAsia="zh-CN"/>
              </w:rPr>
              <w:t>11</w:t>
            </w:r>
          </w:p>
        </w:tc>
        <w:tc>
          <w:tcPr>
            <w:tcW w:w="1240" w:type="dxa"/>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A-IoT</w:t>
            </w:r>
            <w:r>
              <w:rPr>
                <w:rFonts w:hint="eastAsia"/>
              </w:rPr>
              <w:t xml:space="preserve"> </w:t>
            </w:r>
            <w:r>
              <w:rPr>
                <w:rFonts w:hint="eastAsia" w:eastAsia="宋体"/>
                <w:lang w:val="en-US" w:eastAsia="zh-CN"/>
              </w:rPr>
              <w:t>UL</w:t>
            </w:r>
          </w:p>
        </w:tc>
        <w:tc>
          <w:tcPr>
            <w:tcW w:w="1078" w:type="dxa"/>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 xml:space="preserve">Legacy </w:t>
            </w:r>
            <w:r>
              <w:rPr>
                <w:rFonts w:hint="eastAsia"/>
              </w:rPr>
              <w:t xml:space="preserve">TN </w:t>
            </w:r>
            <w:r>
              <w:rPr>
                <w:rFonts w:hint="eastAsia" w:eastAsia="宋体"/>
                <w:lang w:val="en-US" w:eastAsia="zh-CN"/>
              </w:rPr>
              <w:t>UL</w:t>
            </w:r>
          </w:p>
        </w:tc>
        <w:tc>
          <w:tcPr>
            <w:tcW w:w="1560" w:type="dxa"/>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In-band/guard band</w:t>
            </w:r>
          </w:p>
        </w:tc>
        <w:tc>
          <w:tcPr>
            <w:tcW w:w="1204" w:type="dxa"/>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DL</w:t>
            </w:r>
          </w:p>
        </w:tc>
        <w:tc>
          <w:tcPr>
            <w:tcW w:w="2484" w:type="dxa"/>
            <w:noWrap w:val="0"/>
            <w:vAlign w:val="top"/>
          </w:tcPr>
          <w:p>
            <w:pPr>
              <w:pStyle w:val="40"/>
              <w:numPr>
                <w:ilvl w:val="0"/>
                <w:numId w:val="0"/>
              </w:numPr>
              <w:suppressLineNumbers w:val="0"/>
              <w:spacing w:before="0" w:beforeAutospacing="0" w:afterAutospacing="0"/>
              <w:ind w:left="0" w:leftChars="0" w:right="0" w:firstLine="360" w:firstLineChars="200"/>
              <w:rPr>
                <w:rFonts w:hint="eastAsia"/>
                <w:lang w:val="en-US" w:eastAsia="zh-CN"/>
              </w:rPr>
            </w:pPr>
            <w:r>
              <w:rPr>
                <w:rFonts w:hint="eastAsia"/>
                <w:lang w:val="en-US" w:eastAsia="zh-CN"/>
              </w:rPr>
              <w:t>UL</w:t>
            </w:r>
          </w:p>
        </w:tc>
        <w:tc>
          <w:tcPr>
            <w:tcW w:w="4657" w:type="dxa"/>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To check the impacts of A-IoT CW signal and backscattering signal on legacy TN 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shd w:val="clear" w:color="auto" w:fill="DCE6F2" w:themeFill="accent1" w:themeFillTint="32"/>
            <w:noWrap w:val="0"/>
            <w:vAlign w:val="top"/>
          </w:tcPr>
          <w:p>
            <w:pPr>
              <w:pStyle w:val="39"/>
              <w:suppressLineNumbers w:val="0"/>
              <w:spacing w:before="0" w:beforeAutospacing="0" w:afterAutospacing="0"/>
              <w:ind w:left="0" w:right="0"/>
              <w:rPr>
                <w:rFonts w:hint="default" w:eastAsia="宋体"/>
                <w:lang w:val="en-US" w:eastAsia="zh-CN"/>
              </w:rPr>
            </w:pPr>
            <w:r>
              <w:rPr>
                <w:rFonts w:hint="eastAsia" w:eastAsia="宋体"/>
                <w:lang w:val="en-US" w:eastAsia="zh-CN"/>
              </w:rPr>
              <w:t>Case 1-4</w:t>
            </w:r>
          </w:p>
        </w:tc>
        <w:tc>
          <w:tcPr>
            <w:tcW w:w="851" w:type="dxa"/>
            <w:shd w:val="clear" w:color="auto" w:fill="DCE6F2" w:themeFill="accent1" w:themeFillTint="32"/>
            <w:noWrap w:val="0"/>
            <w:vAlign w:val="top"/>
          </w:tcPr>
          <w:p>
            <w:pPr>
              <w:pStyle w:val="39"/>
              <w:suppressLineNumbers w:val="0"/>
              <w:spacing w:before="0" w:beforeAutospacing="0" w:afterAutospacing="0"/>
              <w:ind w:left="0" w:right="0"/>
              <w:rPr>
                <w:rFonts w:hint="default" w:eastAsia="宋体"/>
                <w:lang w:val="en-US" w:eastAsia="zh-CN"/>
              </w:rPr>
            </w:pPr>
            <w:r>
              <w:rPr>
                <w:rFonts w:hint="eastAsia" w:eastAsia="宋体"/>
                <w:lang w:val="en-US" w:eastAsia="zh-CN"/>
              </w:rPr>
              <w:t>12</w:t>
            </w:r>
          </w:p>
        </w:tc>
        <w:tc>
          <w:tcPr>
            <w:tcW w:w="1240" w:type="dxa"/>
            <w:shd w:val="clear" w:color="auto" w:fill="DCE6F2" w:themeFill="accent1" w:themeFillTint="32"/>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 xml:space="preserve">Legacy </w:t>
            </w:r>
            <w:r>
              <w:rPr>
                <w:rFonts w:hint="eastAsia"/>
              </w:rPr>
              <w:t xml:space="preserve">TN </w:t>
            </w:r>
            <w:r>
              <w:rPr>
                <w:rFonts w:hint="eastAsia" w:eastAsia="宋体"/>
                <w:lang w:val="en-US" w:eastAsia="zh-CN"/>
              </w:rPr>
              <w:t>U</w:t>
            </w:r>
            <w:r>
              <w:rPr>
                <w:rFonts w:hint="eastAsia"/>
              </w:rPr>
              <w:t>L</w:t>
            </w:r>
          </w:p>
        </w:tc>
        <w:tc>
          <w:tcPr>
            <w:tcW w:w="1078" w:type="dxa"/>
            <w:shd w:val="clear" w:color="auto" w:fill="DCE6F2" w:themeFill="accent1" w:themeFillTint="32"/>
            <w:noWrap w:val="0"/>
            <w:vAlign w:val="top"/>
          </w:tcPr>
          <w:p>
            <w:pPr>
              <w:pStyle w:val="39"/>
              <w:suppressLineNumbers w:val="0"/>
              <w:spacing w:before="0" w:beforeAutospacing="0" w:afterAutospacing="0"/>
              <w:ind w:left="0" w:right="0"/>
              <w:rPr>
                <w:rFonts w:hint="default" w:eastAsia="宋体"/>
                <w:lang w:val="en-US" w:eastAsia="zh-CN"/>
              </w:rPr>
            </w:pPr>
            <w:r>
              <w:rPr>
                <w:rFonts w:hint="eastAsia"/>
                <w:lang w:val="en-US" w:eastAsia="zh-CN"/>
              </w:rPr>
              <w:t>A-IoT</w:t>
            </w:r>
            <w:r>
              <w:rPr>
                <w:rFonts w:hint="eastAsia"/>
              </w:rPr>
              <w:t xml:space="preserve"> </w:t>
            </w:r>
            <w:r>
              <w:rPr>
                <w:rFonts w:hint="eastAsia" w:eastAsia="宋体"/>
                <w:lang w:val="en-US" w:eastAsia="zh-CN"/>
              </w:rPr>
              <w:t>Device</w:t>
            </w:r>
          </w:p>
        </w:tc>
        <w:tc>
          <w:tcPr>
            <w:tcW w:w="1560" w:type="dxa"/>
            <w:shd w:val="clear" w:color="auto" w:fill="DCE6F2" w:themeFill="accent1" w:themeFillTint="32"/>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In-band/guard band</w:t>
            </w:r>
          </w:p>
        </w:tc>
        <w:tc>
          <w:tcPr>
            <w:tcW w:w="1204" w:type="dxa"/>
            <w:shd w:val="clear" w:color="auto" w:fill="DCE6F2" w:themeFill="accent1" w:themeFillTint="32"/>
            <w:noWrap w:val="0"/>
            <w:vAlign w:val="top"/>
          </w:tcPr>
          <w:p>
            <w:pPr>
              <w:pStyle w:val="39"/>
              <w:suppressLineNumbers w:val="0"/>
              <w:spacing w:before="0" w:beforeAutospacing="0" w:afterAutospacing="0"/>
              <w:ind w:left="0" w:right="0"/>
              <w:rPr>
                <w:rFonts w:hint="default"/>
                <w:lang w:val="en-US" w:eastAsia="zh-CN"/>
              </w:rPr>
            </w:pPr>
            <w:r>
              <w:rPr>
                <w:rFonts w:hint="eastAsia"/>
                <w:lang w:val="en-US" w:eastAsia="zh-CN"/>
              </w:rPr>
              <w:t>UL</w:t>
            </w:r>
          </w:p>
          <w:p>
            <w:pPr>
              <w:pStyle w:val="39"/>
              <w:suppressLineNumbers w:val="0"/>
              <w:spacing w:before="0" w:beforeAutospacing="0" w:afterAutospacing="0"/>
              <w:ind w:left="0" w:right="0"/>
              <w:rPr>
                <w:rFonts w:hint="eastAsia"/>
                <w:lang w:val="en-US" w:eastAsia="zh-CN"/>
              </w:rPr>
            </w:pPr>
          </w:p>
        </w:tc>
        <w:tc>
          <w:tcPr>
            <w:tcW w:w="2484" w:type="dxa"/>
            <w:shd w:val="clear" w:color="auto" w:fill="DCE6F2" w:themeFill="accent1" w:themeFillTint="32"/>
            <w:noWrap w:val="0"/>
            <w:vAlign w:val="top"/>
          </w:tcPr>
          <w:p>
            <w:pPr>
              <w:pStyle w:val="40"/>
              <w:numPr>
                <w:ilvl w:val="0"/>
                <w:numId w:val="0"/>
              </w:numPr>
              <w:suppressLineNumbers w:val="0"/>
              <w:spacing w:before="0" w:beforeAutospacing="0" w:afterAutospacing="0"/>
              <w:ind w:left="0" w:leftChars="0" w:right="0"/>
              <w:rPr>
                <w:rFonts w:hint="default"/>
                <w:lang w:val="en-US" w:eastAsia="zh-CN"/>
              </w:rPr>
            </w:pPr>
            <w:r>
              <w:rPr>
                <w:rFonts w:hint="eastAsia"/>
                <w:lang w:val="en-US" w:eastAsia="zh-CN"/>
              </w:rPr>
              <w:t xml:space="preserve">     UL</w:t>
            </w:r>
          </w:p>
        </w:tc>
        <w:tc>
          <w:tcPr>
            <w:tcW w:w="4657" w:type="dxa"/>
            <w:shd w:val="clear" w:color="auto" w:fill="DCE6F2" w:themeFill="accent1" w:themeFillTint="32"/>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To check ACS requirement of A-IoT device for OOK signal decoding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shd w:val="clear" w:color="auto" w:fill="DCE6F2" w:themeFill="accent1" w:themeFillTint="32"/>
            <w:noWrap w:val="0"/>
            <w:vAlign w:val="top"/>
          </w:tcPr>
          <w:p>
            <w:pPr>
              <w:pStyle w:val="39"/>
              <w:suppressLineNumbers w:val="0"/>
              <w:spacing w:before="0" w:beforeAutospacing="0" w:afterAutospacing="0"/>
              <w:ind w:left="0" w:right="0"/>
              <w:rPr>
                <w:rFonts w:hint="eastAsia" w:eastAsia="宋体"/>
                <w:lang w:val="en-US" w:eastAsia="zh-CN"/>
              </w:rPr>
            </w:pPr>
            <w:r>
              <w:rPr>
                <w:rFonts w:hint="eastAsia" w:eastAsia="宋体"/>
                <w:lang w:val="en-US" w:eastAsia="zh-CN"/>
              </w:rPr>
              <w:t>Case 1-4</w:t>
            </w:r>
          </w:p>
        </w:tc>
        <w:tc>
          <w:tcPr>
            <w:tcW w:w="851" w:type="dxa"/>
            <w:shd w:val="clear" w:color="auto" w:fill="DCE6F2" w:themeFill="accent1" w:themeFillTint="32"/>
            <w:noWrap w:val="0"/>
            <w:vAlign w:val="top"/>
          </w:tcPr>
          <w:p>
            <w:pPr>
              <w:pStyle w:val="39"/>
              <w:suppressLineNumbers w:val="0"/>
              <w:spacing w:before="0" w:beforeAutospacing="0" w:afterAutospacing="0"/>
              <w:ind w:left="0" w:right="0"/>
              <w:rPr>
                <w:rFonts w:hint="default" w:eastAsia="宋体"/>
                <w:lang w:val="en-US" w:eastAsia="zh-CN"/>
              </w:rPr>
            </w:pPr>
            <w:r>
              <w:rPr>
                <w:rFonts w:hint="eastAsia" w:eastAsia="宋体"/>
                <w:lang w:val="en-US" w:eastAsia="zh-CN"/>
              </w:rPr>
              <w:t>13</w:t>
            </w:r>
          </w:p>
        </w:tc>
        <w:tc>
          <w:tcPr>
            <w:tcW w:w="1240" w:type="dxa"/>
            <w:shd w:val="clear" w:color="auto" w:fill="DCE6F2" w:themeFill="accent1" w:themeFillTint="32"/>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 xml:space="preserve">Legacy </w:t>
            </w:r>
            <w:r>
              <w:rPr>
                <w:rFonts w:hint="eastAsia"/>
              </w:rPr>
              <w:t xml:space="preserve">TN </w:t>
            </w:r>
            <w:r>
              <w:rPr>
                <w:rFonts w:hint="eastAsia" w:eastAsia="宋体"/>
                <w:lang w:val="en-US" w:eastAsia="zh-CN"/>
              </w:rPr>
              <w:t>U</w:t>
            </w:r>
            <w:r>
              <w:rPr>
                <w:rFonts w:hint="eastAsia"/>
              </w:rPr>
              <w:t>L</w:t>
            </w:r>
          </w:p>
        </w:tc>
        <w:tc>
          <w:tcPr>
            <w:tcW w:w="1078" w:type="dxa"/>
            <w:shd w:val="clear" w:color="auto" w:fill="DCE6F2" w:themeFill="accent1" w:themeFillTint="32"/>
            <w:noWrap w:val="0"/>
            <w:vAlign w:val="top"/>
          </w:tcPr>
          <w:p>
            <w:pPr>
              <w:pStyle w:val="39"/>
              <w:suppressLineNumbers w:val="0"/>
              <w:spacing w:before="0" w:beforeAutospacing="0" w:afterAutospacing="0"/>
              <w:ind w:left="0" w:right="0"/>
              <w:rPr>
                <w:rFonts w:hint="default" w:eastAsia="宋体"/>
                <w:lang w:val="en-US" w:eastAsia="zh-CN"/>
              </w:rPr>
            </w:pPr>
            <w:r>
              <w:rPr>
                <w:rFonts w:hint="eastAsia"/>
                <w:lang w:val="en-US" w:eastAsia="zh-CN"/>
              </w:rPr>
              <w:t>A-IoT</w:t>
            </w:r>
            <w:r>
              <w:rPr>
                <w:rFonts w:hint="eastAsia"/>
              </w:rPr>
              <w:t xml:space="preserve"> </w:t>
            </w:r>
            <w:r>
              <w:rPr>
                <w:rFonts w:hint="eastAsia" w:eastAsia="宋体"/>
                <w:lang w:val="en-US" w:eastAsia="zh-CN"/>
              </w:rPr>
              <w:t>BS</w:t>
            </w:r>
          </w:p>
        </w:tc>
        <w:tc>
          <w:tcPr>
            <w:tcW w:w="1560" w:type="dxa"/>
            <w:shd w:val="clear" w:color="auto" w:fill="DCE6F2" w:themeFill="accent1" w:themeFillTint="32"/>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In-band/guard band</w:t>
            </w:r>
          </w:p>
        </w:tc>
        <w:tc>
          <w:tcPr>
            <w:tcW w:w="1204" w:type="dxa"/>
            <w:shd w:val="clear" w:color="auto" w:fill="DCE6F2" w:themeFill="accent1" w:themeFillTint="32"/>
            <w:noWrap w:val="0"/>
            <w:vAlign w:val="top"/>
          </w:tcPr>
          <w:p>
            <w:pPr>
              <w:pStyle w:val="39"/>
              <w:suppressLineNumbers w:val="0"/>
              <w:spacing w:before="0" w:beforeAutospacing="0" w:afterAutospacing="0"/>
              <w:ind w:left="0" w:right="0"/>
              <w:rPr>
                <w:rFonts w:hint="default"/>
                <w:lang w:val="en-US" w:eastAsia="zh-CN"/>
              </w:rPr>
            </w:pPr>
            <w:r>
              <w:rPr>
                <w:rFonts w:hint="eastAsia"/>
                <w:lang w:val="en-US" w:eastAsia="zh-CN"/>
              </w:rPr>
              <w:t>UL</w:t>
            </w:r>
          </w:p>
        </w:tc>
        <w:tc>
          <w:tcPr>
            <w:tcW w:w="2484" w:type="dxa"/>
            <w:shd w:val="clear" w:color="auto" w:fill="DCE6F2" w:themeFill="accent1" w:themeFillTint="32"/>
            <w:noWrap w:val="0"/>
            <w:vAlign w:val="top"/>
          </w:tcPr>
          <w:p>
            <w:pPr>
              <w:pStyle w:val="40"/>
              <w:numPr>
                <w:ilvl w:val="0"/>
                <w:numId w:val="0"/>
              </w:numPr>
              <w:suppressLineNumbers w:val="0"/>
              <w:spacing w:before="0" w:beforeAutospacing="0" w:afterAutospacing="0"/>
              <w:ind w:left="0" w:leftChars="0" w:right="0" w:firstLine="0" w:firstLineChars="0"/>
              <w:rPr>
                <w:rFonts w:hint="eastAsia"/>
                <w:lang w:val="en-US" w:eastAsia="zh-CN"/>
              </w:rPr>
            </w:pPr>
            <w:r>
              <w:rPr>
                <w:rFonts w:hint="eastAsia"/>
                <w:lang w:val="en-US" w:eastAsia="zh-CN"/>
              </w:rPr>
              <w:t xml:space="preserve">    UL</w:t>
            </w:r>
          </w:p>
        </w:tc>
        <w:tc>
          <w:tcPr>
            <w:tcW w:w="4657" w:type="dxa"/>
            <w:shd w:val="clear" w:color="auto" w:fill="DCE6F2" w:themeFill="accent1" w:themeFillTint="32"/>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To check ACS requirement of A-IoT BS for b</w:t>
            </w:r>
            <w:r>
              <w:rPr>
                <w:rFonts w:hint="eastAsia" w:eastAsia="宋体"/>
                <w:lang w:val="en-US" w:eastAsia="zh-CN"/>
              </w:rPr>
              <w:t>ackscattering</w:t>
            </w:r>
            <w:r>
              <w:rPr>
                <w:rFonts w:hint="eastAsia"/>
                <w:lang w:val="en-US" w:eastAsia="zh-CN"/>
              </w:rPr>
              <w:t xml:space="preserve"> signal detection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shd w:val="clear" w:color="auto" w:fill="DCE6F2" w:themeFill="accent1" w:themeFillTint="32"/>
            <w:noWrap w:val="0"/>
            <w:vAlign w:val="top"/>
          </w:tcPr>
          <w:p>
            <w:pPr>
              <w:pStyle w:val="39"/>
              <w:suppressLineNumbers w:val="0"/>
              <w:spacing w:before="0" w:beforeAutospacing="0" w:afterAutospacing="0"/>
              <w:ind w:left="0" w:right="0"/>
              <w:rPr>
                <w:rFonts w:hint="eastAsia" w:eastAsia="宋体"/>
                <w:lang w:val="en-US" w:eastAsia="zh-CN"/>
              </w:rPr>
            </w:pPr>
            <w:r>
              <w:rPr>
                <w:rFonts w:hint="eastAsia" w:eastAsia="宋体"/>
                <w:lang w:val="en-US" w:eastAsia="zh-CN"/>
              </w:rPr>
              <w:t>Case 1-4</w:t>
            </w:r>
          </w:p>
        </w:tc>
        <w:tc>
          <w:tcPr>
            <w:tcW w:w="851" w:type="dxa"/>
            <w:shd w:val="clear" w:color="auto" w:fill="DCE6F2" w:themeFill="accent1" w:themeFillTint="32"/>
            <w:noWrap w:val="0"/>
            <w:vAlign w:val="top"/>
          </w:tcPr>
          <w:p>
            <w:pPr>
              <w:pStyle w:val="39"/>
              <w:suppressLineNumbers w:val="0"/>
              <w:spacing w:before="0" w:beforeAutospacing="0" w:afterAutospacing="0"/>
              <w:ind w:left="0" w:right="0"/>
              <w:rPr>
                <w:rFonts w:hint="default" w:eastAsia="宋体"/>
                <w:lang w:val="en-US" w:eastAsia="zh-CN"/>
              </w:rPr>
            </w:pPr>
            <w:r>
              <w:rPr>
                <w:rFonts w:hint="eastAsia" w:eastAsia="宋体"/>
                <w:lang w:val="en-US" w:eastAsia="zh-CN"/>
              </w:rPr>
              <w:t>14</w:t>
            </w:r>
          </w:p>
        </w:tc>
        <w:tc>
          <w:tcPr>
            <w:tcW w:w="1240" w:type="dxa"/>
            <w:shd w:val="clear" w:color="auto" w:fill="DCE6F2" w:themeFill="accent1" w:themeFillTint="32"/>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A-IoT</w:t>
            </w:r>
            <w:r>
              <w:rPr>
                <w:rFonts w:hint="eastAsia"/>
              </w:rPr>
              <w:t xml:space="preserve"> </w:t>
            </w:r>
            <w:r>
              <w:rPr>
                <w:rFonts w:hint="eastAsia" w:eastAsia="宋体"/>
                <w:lang w:val="en-US" w:eastAsia="zh-CN"/>
              </w:rPr>
              <w:t>UL</w:t>
            </w:r>
          </w:p>
        </w:tc>
        <w:tc>
          <w:tcPr>
            <w:tcW w:w="1078" w:type="dxa"/>
            <w:shd w:val="clear" w:color="auto" w:fill="DCE6F2" w:themeFill="accent1" w:themeFillTint="32"/>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 xml:space="preserve">Legacy </w:t>
            </w:r>
            <w:r>
              <w:rPr>
                <w:rFonts w:hint="eastAsia"/>
              </w:rPr>
              <w:t xml:space="preserve">TN </w:t>
            </w:r>
            <w:r>
              <w:rPr>
                <w:rFonts w:hint="eastAsia" w:eastAsia="宋体"/>
                <w:lang w:val="en-US" w:eastAsia="zh-CN"/>
              </w:rPr>
              <w:t>UL</w:t>
            </w:r>
          </w:p>
        </w:tc>
        <w:tc>
          <w:tcPr>
            <w:tcW w:w="1560" w:type="dxa"/>
            <w:shd w:val="clear" w:color="auto" w:fill="DCE6F2" w:themeFill="accent1" w:themeFillTint="32"/>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In-band/guard band</w:t>
            </w:r>
          </w:p>
        </w:tc>
        <w:tc>
          <w:tcPr>
            <w:tcW w:w="1204" w:type="dxa"/>
            <w:shd w:val="clear" w:color="auto" w:fill="DCE6F2" w:themeFill="accent1" w:themeFillTint="32"/>
            <w:noWrap w:val="0"/>
            <w:vAlign w:val="top"/>
          </w:tcPr>
          <w:p>
            <w:pPr>
              <w:pStyle w:val="39"/>
              <w:suppressLineNumbers w:val="0"/>
              <w:spacing w:before="0" w:beforeAutospacing="0" w:afterAutospacing="0"/>
              <w:ind w:left="0" w:right="0"/>
              <w:rPr>
                <w:rFonts w:hint="default"/>
                <w:lang w:val="en-US" w:eastAsia="zh-CN"/>
              </w:rPr>
            </w:pPr>
            <w:r>
              <w:rPr>
                <w:rFonts w:hint="eastAsia"/>
                <w:lang w:val="en-US" w:eastAsia="zh-CN"/>
              </w:rPr>
              <w:t>UL</w:t>
            </w:r>
          </w:p>
        </w:tc>
        <w:tc>
          <w:tcPr>
            <w:tcW w:w="2484" w:type="dxa"/>
            <w:shd w:val="clear" w:color="auto" w:fill="DCE6F2" w:themeFill="accent1" w:themeFillTint="32"/>
            <w:noWrap w:val="0"/>
            <w:vAlign w:val="top"/>
          </w:tcPr>
          <w:p>
            <w:pPr>
              <w:pStyle w:val="40"/>
              <w:numPr>
                <w:ilvl w:val="0"/>
                <w:numId w:val="0"/>
              </w:numPr>
              <w:suppressLineNumbers w:val="0"/>
              <w:spacing w:before="0" w:beforeAutospacing="0" w:afterAutospacing="0"/>
              <w:ind w:left="0" w:leftChars="0" w:right="0" w:firstLine="360" w:firstLineChars="200"/>
              <w:rPr>
                <w:rFonts w:hint="eastAsia"/>
                <w:lang w:val="en-US" w:eastAsia="zh-CN"/>
              </w:rPr>
            </w:pPr>
            <w:r>
              <w:rPr>
                <w:rFonts w:hint="eastAsia"/>
                <w:lang w:val="en-US" w:eastAsia="zh-CN"/>
              </w:rPr>
              <w:t>UL</w:t>
            </w:r>
          </w:p>
        </w:tc>
        <w:tc>
          <w:tcPr>
            <w:tcW w:w="4657" w:type="dxa"/>
            <w:shd w:val="clear" w:color="auto" w:fill="DCE6F2" w:themeFill="accent1" w:themeFillTint="32"/>
            <w:noWrap w:val="0"/>
            <w:vAlign w:val="top"/>
          </w:tcPr>
          <w:p>
            <w:pPr>
              <w:pStyle w:val="39"/>
              <w:suppressLineNumbers w:val="0"/>
              <w:spacing w:before="0" w:beforeAutospacing="0" w:afterAutospacing="0"/>
              <w:ind w:left="0" w:right="0"/>
              <w:rPr>
                <w:rFonts w:hint="default"/>
                <w:lang w:val="en-US" w:eastAsia="zh-CN"/>
              </w:rPr>
            </w:pPr>
            <w:r>
              <w:rPr>
                <w:rFonts w:hint="eastAsia"/>
                <w:lang w:val="en-US" w:eastAsia="zh-CN"/>
              </w:rPr>
              <w:t>To check the impacts of inventory command, CW and backscattering signal on legacy BS receiver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shd w:val="clear" w:color="auto" w:fill="auto"/>
            <w:noWrap w:val="0"/>
            <w:vAlign w:val="top"/>
          </w:tcPr>
          <w:p>
            <w:pPr>
              <w:pStyle w:val="39"/>
              <w:suppressLineNumbers w:val="0"/>
              <w:spacing w:before="0" w:beforeAutospacing="0" w:afterAutospacing="0"/>
              <w:ind w:left="0" w:right="0"/>
              <w:rPr>
                <w:rFonts w:hint="default" w:eastAsia="宋体"/>
                <w:lang w:val="en-US" w:eastAsia="zh-CN"/>
              </w:rPr>
            </w:pPr>
            <w:r>
              <w:rPr>
                <w:rFonts w:hint="eastAsia" w:eastAsia="宋体"/>
                <w:lang w:val="en-US" w:eastAsia="zh-CN"/>
              </w:rPr>
              <w:t>Case 1-1</w:t>
            </w:r>
          </w:p>
        </w:tc>
        <w:tc>
          <w:tcPr>
            <w:tcW w:w="851" w:type="dxa"/>
            <w:shd w:val="clear" w:color="auto" w:fill="auto"/>
            <w:noWrap w:val="0"/>
            <w:vAlign w:val="top"/>
          </w:tcPr>
          <w:p>
            <w:pPr>
              <w:pStyle w:val="39"/>
              <w:suppressLineNumbers w:val="0"/>
              <w:spacing w:before="0" w:beforeAutospacing="0" w:afterAutospacing="0"/>
              <w:ind w:left="0" w:right="0"/>
              <w:rPr>
                <w:rFonts w:hint="default" w:eastAsia="宋体"/>
                <w:lang w:val="en-US" w:eastAsia="zh-CN"/>
              </w:rPr>
            </w:pPr>
            <w:r>
              <w:rPr>
                <w:rFonts w:hint="eastAsia" w:eastAsia="宋体"/>
                <w:lang w:val="en-US" w:eastAsia="zh-CN"/>
              </w:rPr>
              <w:t>15</w:t>
            </w:r>
          </w:p>
        </w:tc>
        <w:tc>
          <w:tcPr>
            <w:tcW w:w="1240" w:type="dxa"/>
            <w:shd w:val="clear" w:color="auto" w:fill="auto"/>
            <w:noWrap w:val="0"/>
            <w:vAlign w:val="top"/>
          </w:tcPr>
          <w:p>
            <w:pPr>
              <w:pStyle w:val="39"/>
              <w:suppressLineNumbers w:val="0"/>
              <w:spacing w:before="0" w:beforeAutospacing="0" w:afterAutospacing="0"/>
              <w:ind w:left="0" w:right="0"/>
              <w:rPr>
                <w:rFonts w:hint="eastAsia" w:ascii="Arial" w:hAnsi="Arial" w:eastAsia="Times New Roman" w:cs="Times New Roman"/>
                <w:kern w:val="0"/>
                <w:sz w:val="18"/>
                <w:szCs w:val="20"/>
                <w:lang w:val="en-US" w:eastAsia="zh-CN" w:bidi="ar-SA"/>
              </w:rPr>
            </w:pPr>
            <w:r>
              <w:rPr>
                <w:rFonts w:hint="eastAsia"/>
                <w:lang w:val="en-US" w:eastAsia="zh-CN"/>
              </w:rPr>
              <w:t xml:space="preserve">Legacy </w:t>
            </w:r>
            <w:r>
              <w:rPr>
                <w:rFonts w:hint="eastAsia"/>
              </w:rPr>
              <w:t>TN DL</w:t>
            </w:r>
          </w:p>
        </w:tc>
        <w:tc>
          <w:tcPr>
            <w:tcW w:w="1078" w:type="dxa"/>
            <w:shd w:val="clear" w:color="auto" w:fill="auto"/>
            <w:noWrap w:val="0"/>
            <w:vAlign w:val="top"/>
          </w:tcPr>
          <w:p>
            <w:pPr>
              <w:pStyle w:val="39"/>
              <w:suppressLineNumbers w:val="0"/>
              <w:spacing w:before="0" w:beforeAutospacing="0" w:afterAutospacing="0"/>
              <w:ind w:left="0" w:right="0"/>
              <w:rPr>
                <w:rFonts w:hint="default" w:ascii="Arial" w:hAnsi="Arial" w:eastAsia="宋体" w:cs="Times New Roman"/>
                <w:kern w:val="0"/>
                <w:sz w:val="18"/>
                <w:szCs w:val="20"/>
                <w:lang w:val="en-US" w:eastAsia="zh-CN" w:bidi="ar-SA"/>
              </w:rPr>
            </w:pPr>
            <w:r>
              <w:rPr>
                <w:rFonts w:hint="eastAsia"/>
                <w:lang w:val="en-US" w:eastAsia="zh-CN"/>
              </w:rPr>
              <w:t>A-IoT</w:t>
            </w:r>
            <w:r>
              <w:rPr>
                <w:rFonts w:hint="eastAsia"/>
              </w:rPr>
              <w:t xml:space="preserve"> </w:t>
            </w:r>
            <w:r>
              <w:rPr>
                <w:rFonts w:hint="eastAsia" w:eastAsia="宋体"/>
                <w:lang w:val="en-US" w:eastAsia="zh-CN"/>
              </w:rPr>
              <w:t>Device</w:t>
            </w:r>
          </w:p>
        </w:tc>
        <w:tc>
          <w:tcPr>
            <w:tcW w:w="1560" w:type="dxa"/>
            <w:shd w:val="clear" w:color="auto" w:fill="auto"/>
            <w:noWrap w:val="0"/>
            <w:vAlign w:val="top"/>
          </w:tcPr>
          <w:p>
            <w:pPr>
              <w:pStyle w:val="39"/>
              <w:suppressLineNumbers w:val="0"/>
              <w:spacing w:before="0" w:beforeAutospacing="0" w:afterAutospacing="0"/>
              <w:ind w:left="0" w:right="0"/>
              <w:rPr>
                <w:rFonts w:hint="eastAsia" w:ascii="Arial" w:hAnsi="Arial" w:eastAsia="Times New Roman" w:cs="Times New Roman"/>
                <w:kern w:val="0"/>
                <w:sz w:val="18"/>
                <w:szCs w:val="20"/>
                <w:lang w:val="en-US" w:eastAsia="zh-CN" w:bidi="ar-SA"/>
              </w:rPr>
            </w:pPr>
            <w:r>
              <w:rPr>
                <w:rFonts w:hint="eastAsia"/>
                <w:lang w:val="en-US" w:eastAsia="zh-CN"/>
              </w:rPr>
              <w:t>In-band/guard band</w:t>
            </w:r>
          </w:p>
        </w:tc>
        <w:tc>
          <w:tcPr>
            <w:tcW w:w="1204" w:type="dxa"/>
            <w:shd w:val="clear" w:color="auto" w:fill="auto"/>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DL</w:t>
            </w:r>
          </w:p>
          <w:p>
            <w:pPr>
              <w:pStyle w:val="39"/>
              <w:suppressLineNumbers w:val="0"/>
              <w:spacing w:before="0" w:beforeAutospacing="0" w:afterAutospacing="0"/>
              <w:ind w:left="0" w:right="0"/>
              <w:rPr>
                <w:rFonts w:hint="default"/>
                <w:lang w:val="en-US" w:eastAsia="zh-CN"/>
              </w:rPr>
            </w:pPr>
            <w:r>
              <w:rPr>
                <w:rFonts w:hint="eastAsia"/>
                <w:lang w:val="en-US" w:eastAsia="zh-CN"/>
              </w:rPr>
              <w:t>[UL ?]</w:t>
            </w:r>
          </w:p>
          <w:p>
            <w:pPr>
              <w:pStyle w:val="39"/>
              <w:suppressLineNumbers w:val="0"/>
              <w:spacing w:before="0" w:beforeAutospacing="0" w:afterAutospacing="0"/>
              <w:ind w:left="0" w:right="0"/>
              <w:rPr>
                <w:rFonts w:hint="eastAsia"/>
                <w:lang w:val="en-US" w:eastAsia="zh-CN"/>
              </w:rPr>
            </w:pPr>
          </w:p>
          <w:p>
            <w:pPr>
              <w:pStyle w:val="39"/>
              <w:suppressLineNumbers w:val="0"/>
              <w:spacing w:before="0" w:beforeAutospacing="0" w:afterAutospacing="0"/>
              <w:ind w:left="0" w:right="0"/>
              <w:rPr>
                <w:rFonts w:hint="eastAsia" w:ascii="Arial" w:hAnsi="Arial" w:eastAsia="Times New Roman" w:cs="Times New Roman"/>
                <w:kern w:val="0"/>
                <w:sz w:val="18"/>
                <w:szCs w:val="20"/>
                <w:lang w:val="en-US" w:eastAsia="zh-CN" w:bidi="ar-SA"/>
              </w:rPr>
            </w:pPr>
          </w:p>
        </w:tc>
        <w:tc>
          <w:tcPr>
            <w:tcW w:w="2484" w:type="dxa"/>
            <w:shd w:val="clear" w:color="auto" w:fill="auto"/>
            <w:noWrap w:val="0"/>
            <w:vAlign w:val="top"/>
          </w:tcPr>
          <w:p>
            <w:pPr>
              <w:pStyle w:val="40"/>
              <w:numPr>
                <w:ilvl w:val="0"/>
                <w:numId w:val="0"/>
              </w:numPr>
              <w:suppressLineNumbers w:val="0"/>
              <w:spacing w:before="0" w:beforeAutospacing="0" w:afterAutospacing="0"/>
              <w:ind w:left="0" w:leftChars="0" w:right="0"/>
              <w:rPr>
                <w:rFonts w:hint="default"/>
                <w:lang w:val="en-US" w:eastAsia="zh-CN"/>
              </w:rPr>
            </w:pPr>
            <w:r>
              <w:rPr>
                <w:rFonts w:hint="eastAsia"/>
                <w:lang w:val="en-US" w:eastAsia="zh-CN"/>
              </w:rPr>
              <w:t xml:space="preserve">     DL</w:t>
            </w:r>
          </w:p>
          <w:p>
            <w:pPr>
              <w:pStyle w:val="40"/>
              <w:numPr>
                <w:ilvl w:val="0"/>
                <w:numId w:val="0"/>
              </w:numPr>
              <w:suppressLineNumbers w:val="0"/>
              <w:spacing w:before="0" w:beforeAutospacing="0" w:afterAutospacing="0"/>
              <w:ind w:left="0" w:leftChars="0" w:right="0" w:firstLine="0" w:firstLineChars="0"/>
              <w:rPr>
                <w:rFonts w:hint="eastAsia" w:ascii="Arial" w:hAnsi="Arial" w:eastAsia="宋体" w:cs="Times New Roman"/>
                <w:kern w:val="0"/>
                <w:sz w:val="18"/>
                <w:szCs w:val="20"/>
                <w:lang w:val="en-US" w:eastAsia="zh-CN" w:bidi="ar-SA"/>
              </w:rPr>
            </w:pPr>
          </w:p>
        </w:tc>
        <w:tc>
          <w:tcPr>
            <w:tcW w:w="4657" w:type="dxa"/>
            <w:shd w:val="clear" w:color="auto" w:fill="auto"/>
            <w:noWrap w:val="0"/>
            <w:vAlign w:val="top"/>
          </w:tcPr>
          <w:p>
            <w:pPr>
              <w:pStyle w:val="39"/>
              <w:suppressLineNumbers w:val="0"/>
              <w:spacing w:before="0" w:beforeAutospacing="0" w:afterAutospacing="0"/>
              <w:ind w:left="0" w:right="0"/>
              <w:rPr>
                <w:rFonts w:hint="eastAsia" w:ascii="Arial" w:hAnsi="Arial" w:eastAsia="宋体" w:cs="Times New Roman"/>
                <w:kern w:val="0"/>
                <w:sz w:val="18"/>
                <w:szCs w:val="20"/>
                <w:lang w:val="en-US" w:eastAsia="zh-CN" w:bidi="ar-SA"/>
              </w:rPr>
            </w:pPr>
            <w:r>
              <w:rPr>
                <w:rFonts w:hint="eastAsia"/>
                <w:lang w:val="en-US" w:eastAsia="zh-CN"/>
              </w:rPr>
              <w:t>To check ACS requirement of A-IoT device for OOK signal decoding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shd w:val="clear" w:color="auto" w:fill="auto"/>
            <w:noWrap w:val="0"/>
            <w:vAlign w:val="top"/>
          </w:tcPr>
          <w:p>
            <w:pPr>
              <w:pStyle w:val="39"/>
              <w:suppressLineNumbers w:val="0"/>
              <w:spacing w:before="0" w:beforeAutospacing="0" w:afterAutospacing="0"/>
              <w:ind w:left="0" w:right="0"/>
              <w:rPr>
                <w:rFonts w:hint="eastAsia" w:eastAsia="宋体"/>
                <w:lang w:val="en-US" w:eastAsia="zh-CN"/>
              </w:rPr>
            </w:pPr>
            <w:r>
              <w:rPr>
                <w:rFonts w:hint="eastAsia" w:eastAsia="宋体"/>
                <w:lang w:val="en-US" w:eastAsia="zh-CN"/>
              </w:rPr>
              <w:t>Case 1-1</w:t>
            </w:r>
          </w:p>
        </w:tc>
        <w:tc>
          <w:tcPr>
            <w:tcW w:w="851" w:type="dxa"/>
            <w:shd w:val="clear" w:color="auto" w:fill="auto"/>
            <w:noWrap w:val="0"/>
            <w:vAlign w:val="top"/>
          </w:tcPr>
          <w:p>
            <w:pPr>
              <w:pStyle w:val="39"/>
              <w:suppressLineNumbers w:val="0"/>
              <w:spacing w:before="0" w:beforeAutospacing="0" w:afterAutospacing="0"/>
              <w:ind w:left="0" w:right="0"/>
              <w:rPr>
                <w:rFonts w:hint="default" w:eastAsia="宋体"/>
                <w:lang w:val="en-US" w:eastAsia="zh-CN"/>
              </w:rPr>
            </w:pPr>
            <w:r>
              <w:rPr>
                <w:rFonts w:hint="eastAsia" w:eastAsia="宋体"/>
                <w:lang w:val="en-US" w:eastAsia="zh-CN"/>
              </w:rPr>
              <w:t>16</w:t>
            </w:r>
          </w:p>
        </w:tc>
        <w:tc>
          <w:tcPr>
            <w:tcW w:w="1240" w:type="dxa"/>
            <w:shd w:val="clear" w:color="auto" w:fill="auto"/>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 xml:space="preserve">Legacy </w:t>
            </w:r>
            <w:r>
              <w:rPr>
                <w:rFonts w:hint="eastAsia"/>
              </w:rPr>
              <w:t>TN DL</w:t>
            </w:r>
          </w:p>
        </w:tc>
        <w:tc>
          <w:tcPr>
            <w:tcW w:w="1078" w:type="dxa"/>
            <w:shd w:val="clear" w:color="auto" w:fill="auto"/>
            <w:noWrap w:val="0"/>
            <w:vAlign w:val="top"/>
          </w:tcPr>
          <w:p>
            <w:pPr>
              <w:pStyle w:val="39"/>
              <w:suppressLineNumbers w:val="0"/>
              <w:spacing w:before="0" w:beforeAutospacing="0" w:afterAutospacing="0"/>
              <w:ind w:left="0" w:right="0"/>
              <w:rPr>
                <w:rFonts w:hint="default" w:eastAsia="宋体"/>
                <w:lang w:val="en-US" w:eastAsia="zh-CN"/>
              </w:rPr>
            </w:pPr>
            <w:r>
              <w:rPr>
                <w:rFonts w:hint="eastAsia"/>
                <w:lang w:val="en-US" w:eastAsia="zh-CN"/>
              </w:rPr>
              <w:t>A-IoT</w:t>
            </w:r>
            <w:r>
              <w:rPr>
                <w:rFonts w:hint="eastAsia"/>
              </w:rPr>
              <w:t xml:space="preserve"> </w:t>
            </w:r>
            <w:r>
              <w:rPr>
                <w:rFonts w:hint="eastAsia" w:eastAsia="宋体"/>
                <w:lang w:val="en-US" w:eastAsia="zh-CN"/>
              </w:rPr>
              <w:t>BS</w:t>
            </w:r>
          </w:p>
        </w:tc>
        <w:tc>
          <w:tcPr>
            <w:tcW w:w="1560" w:type="dxa"/>
            <w:shd w:val="clear" w:color="auto" w:fill="auto"/>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In-band/guard band</w:t>
            </w:r>
          </w:p>
        </w:tc>
        <w:tc>
          <w:tcPr>
            <w:tcW w:w="1204" w:type="dxa"/>
            <w:shd w:val="clear" w:color="auto" w:fill="auto"/>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DL</w:t>
            </w:r>
          </w:p>
          <w:p>
            <w:pPr>
              <w:pStyle w:val="39"/>
              <w:suppressLineNumbers w:val="0"/>
              <w:spacing w:before="0" w:beforeAutospacing="0" w:afterAutospacing="0"/>
              <w:ind w:left="0" w:right="0"/>
              <w:rPr>
                <w:rFonts w:hint="default"/>
                <w:lang w:val="en-US" w:eastAsia="zh-CN"/>
              </w:rPr>
            </w:pPr>
            <w:r>
              <w:rPr>
                <w:rFonts w:hint="eastAsia"/>
                <w:lang w:val="en-US" w:eastAsia="zh-CN"/>
              </w:rPr>
              <w:t>[UL?]</w:t>
            </w:r>
          </w:p>
          <w:p>
            <w:pPr>
              <w:pStyle w:val="39"/>
              <w:suppressLineNumbers w:val="0"/>
              <w:spacing w:before="0" w:beforeAutospacing="0" w:afterAutospacing="0"/>
              <w:ind w:left="0" w:right="0"/>
              <w:rPr>
                <w:rFonts w:hint="eastAsia"/>
                <w:lang w:val="en-US" w:eastAsia="zh-CN"/>
              </w:rPr>
            </w:pPr>
          </w:p>
        </w:tc>
        <w:tc>
          <w:tcPr>
            <w:tcW w:w="2484" w:type="dxa"/>
            <w:shd w:val="clear" w:color="auto" w:fill="auto"/>
            <w:noWrap w:val="0"/>
            <w:vAlign w:val="top"/>
          </w:tcPr>
          <w:p>
            <w:pPr>
              <w:pStyle w:val="40"/>
              <w:numPr>
                <w:ilvl w:val="0"/>
                <w:numId w:val="0"/>
              </w:numPr>
              <w:suppressLineNumbers w:val="0"/>
              <w:spacing w:before="0" w:beforeAutospacing="0" w:afterAutospacing="0"/>
              <w:ind w:left="0" w:leftChars="0" w:right="0"/>
              <w:rPr>
                <w:rFonts w:hint="default"/>
                <w:lang w:val="en-US" w:eastAsia="zh-CN"/>
              </w:rPr>
            </w:pPr>
            <w:r>
              <w:rPr>
                <w:rFonts w:hint="eastAsia"/>
                <w:lang w:val="en-US" w:eastAsia="zh-CN"/>
              </w:rPr>
              <w:t xml:space="preserve">     DL</w:t>
            </w:r>
          </w:p>
          <w:p>
            <w:pPr>
              <w:pStyle w:val="40"/>
              <w:numPr>
                <w:ilvl w:val="0"/>
                <w:numId w:val="0"/>
              </w:numPr>
              <w:suppressLineNumbers w:val="0"/>
              <w:spacing w:before="0" w:beforeAutospacing="0" w:afterAutospacing="0"/>
              <w:ind w:left="0" w:leftChars="0" w:right="0" w:firstLine="0" w:firstLineChars="0"/>
              <w:rPr>
                <w:rFonts w:hint="eastAsia"/>
                <w:lang w:val="en-US" w:eastAsia="zh-CN"/>
              </w:rPr>
            </w:pPr>
          </w:p>
        </w:tc>
        <w:tc>
          <w:tcPr>
            <w:tcW w:w="4657" w:type="dxa"/>
            <w:shd w:val="clear" w:color="auto" w:fill="auto"/>
            <w:noWrap w:val="0"/>
            <w:vAlign w:val="top"/>
          </w:tcPr>
          <w:p>
            <w:pPr>
              <w:pStyle w:val="39"/>
              <w:suppressLineNumbers w:val="0"/>
              <w:spacing w:before="0" w:beforeAutospacing="0" w:afterAutospacing="0"/>
              <w:ind w:left="0" w:right="0"/>
              <w:rPr>
                <w:rFonts w:hint="default"/>
                <w:lang w:val="en-US" w:eastAsia="zh-CN"/>
              </w:rPr>
            </w:pPr>
            <w:r>
              <w:rPr>
                <w:rFonts w:hint="eastAsia"/>
                <w:lang w:val="en-US" w:eastAsia="zh-CN"/>
              </w:rPr>
              <w:t>To check ACS requirement of A-IoT 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shd w:val="clear" w:color="auto" w:fill="auto"/>
            <w:noWrap w:val="0"/>
            <w:vAlign w:val="top"/>
          </w:tcPr>
          <w:p>
            <w:pPr>
              <w:pStyle w:val="39"/>
              <w:suppressLineNumbers w:val="0"/>
              <w:spacing w:before="0" w:beforeAutospacing="0" w:afterAutospacing="0"/>
              <w:ind w:left="0" w:right="0"/>
              <w:rPr>
                <w:rFonts w:hint="eastAsia" w:eastAsia="宋体"/>
                <w:lang w:val="en-US" w:eastAsia="zh-CN"/>
              </w:rPr>
            </w:pPr>
            <w:r>
              <w:rPr>
                <w:rFonts w:hint="eastAsia" w:eastAsia="宋体"/>
                <w:lang w:val="en-US" w:eastAsia="zh-CN"/>
              </w:rPr>
              <w:t>Case 1-1</w:t>
            </w:r>
          </w:p>
        </w:tc>
        <w:tc>
          <w:tcPr>
            <w:tcW w:w="851" w:type="dxa"/>
            <w:shd w:val="clear" w:color="auto" w:fill="auto"/>
            <w:noWrap w:val="0"/>
            <w:vAlign w:val="top"/>
          </w:tcPr>
          <w:p>
            <w:pPr>
              <w:pStyle w:val="39"/>
              <w:suppressLineNumbers w:val="0"/>
              <w:spacing w:before="0" w:beforeAutospacing="0" w:afterAutospacing="0"/>
              <w:ind w:left="0" w:right="0"/>
              <w:rPr>
                <w:rFonts w:hint="default" w:eastAsia="宋体"/>
                <w:lang w:val="en-US" w:eastAsia="zh-CN"/>
              </w:rPr>
            </w:pPr>
            <w:r>
              <w:rPr>
                <w:rFonts w:hint="eastAsia" w:eastAsia="宋体"/>
                <w:lang w:val="en-US" w:eastAsia="zh-CN"/>
              </w:rPr>
              <w:t>17</w:t>
            </w:r>
          </w:p>
        </w:tc>
        <w:tc>
          <w:tcPr>
            <w:tcW w:w="1240" w:type="dxa"/>
            <w:shd w:val="clear" w:color="auto" w:fill="auto"/>
            <w:noWrap w:val="0"/>
            <w:vAlign w:val="top"/>
          </w:tcPr>
          <w:p>
            <w:pPr>
              <w:pStyle w:val="39"/>
              <w:suppressLineNumbers w:val="0"/>
              <w:spacing w:before="0" w:beforeAutospacing="0" w:afterAutospacing="0"/>
              <w:ind w:left="0" w:right="0"/>
              <w:rPr>
                <w:rFonts w:hint="default" w:eastAsia="宋体"/>
                <w:lang w:val="en-US" w:eastAsia="zh-CN"/>
              </w:rPr>
            </w:pPr>
            <w:r>
              <w:rPr>
                <w:rFonts w:hint="eastAsia"/>
                <w:lang w:val="en-US" w:eastAsia="zh-CN"/>
              </w:rPr>
              <w:t>A-IoT</w:t>
            </w:r>
            <w:r>
              <w:rPr>
                <w:rFonts w:hint="eastAsia"/>
              </w:rPr>
              <w:t xml:space="preserve"> </w:t>
            </w:r>
            <w:r>
              <w:rPr>
                <w:rFonts w:hint="eastAsia" w:eastAsia="宋体"/>
                <w:lang w:val="en-US" w:eastAsia="zh-CN"/>
              </w:rPr>
              <w:t>DL</w:t>
            </w:r>
          </w:p>
        </w:tc>
        <w:tc>
          <w:tcPr>
            <w:tcW w:w="1078" w:type="dxa"/>
            <w:shd w:val="clear" w:color="auto" w:fill="auto"/>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 xml:space="preserve">Legacy </w:t>
            </w:r>
            <w:r>
              <w:rPr>
                <w:rFonts w:hint="eastAsia"/>
              </w:rPr>
              <w:t>TN DL</w:t>
            </w:r>
          </w:p>
        </w:tc>
        <w:tc>
          <w:tcPr>
            <w:tcW w:w="1560" w:type="dxa"/>
            <w:shd w:val="clear" w:color="auto" w:fill="auto"/>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In-band/guard band</w:t>
            </w:r>
          </w:p>
        </w:tc>
        <w:tc>
          <w:tcPr>
            <w:tcW w:w="1204" w:type="dxa"/>
            <w:shd w:val="clear" w:color="auto" w:fill="auto"/>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DL</w:t>
            </w:r>
          </w:p>
          <w:p>
            <w:pPr>
              <w:pStyle w:val="39"/>
              <w:suppressLineNumbers w:val="0"/>
              <w:spacing w:before="0" w:beforeAutospacing="0" w:afterAutospacing="0"/>
              <w:ind w:left="0" w:right="0"/>
              <w:rPr>
                <w:rFonts w:hint="default"/>
                <w:lang w:val="en-US" w:eastAsia="zh-CN"/>
              </w:rPr>
            </w:pPr>
            <w:r>
              <w:rPr>
                <w:rFonts w:hint="eastAsia"/>
                <w:lang w:val="en-US" w:eastAsia="zh-CN"/>
              </w:rPr>
              <w:t>[UL?]</w:t>
            </w:r>
          </w:p>
          <w:p>
            <w:pPr>
              <w:pStyle w:val="39"/>
              <w:suppressLineNumbers w:val="0"/>
              <w:spacing w:before="0" w:beforeAutospacing="0" w:afterAutospacing="0"/>
              <w:ind w:left="0" w:right="0"/>
              <w:rPr>
                <w:rFonts w:hint="eastAsia"/>
                <w:lang w:val="en-US" w:eastAsia="zh-CN"/>
              </w:rPr>
            </w:pPr>
          </w:p>
        </w:tc>
        <w:tc>
          <w:tcPr>
            <w:tcW w:w="2484" w:type="dxa"/>
            <w:shd w:val="clear" w:color="auto" w:fill="auto"/>
            <w:noWrap w:val="0"/>
            <w:vAlign w:val="top"/>
          </w:tcPr>
          <w:p>
            <w:pPr>
              <w:pStyle w:val="40"/>
              <w:numPr>
                <w:ilvl w:val="0"/>
                <w:numId w:val="0"/>
              </w:numPr>
              <w:suppressLineNumbers w:val="0"/>
              <w:spacing w:before="0" w:beforeAutospacing="0" w:afterAutospacing="0"/>
              <w:ind w:left="0" w:leftChars="0" w:right="0" w:firstLine="360" w:firstLineChars="200"/>
              <w:rPr>
                <w:rFonts w:hint="eastAsia"/>
                <w:lang w:val="en-US" w:eastAsia="zh-CN"/>
              </w:rPr>
            </w:pPr>
            <w:r>
              <w:rPr>
                <w:rFonts w:hint="eastAsia"/>
                <w:lang w:val="en-US" w:eastAsia="zh-CN"/>
              </w:rPr>
              <w:t xml:space="preserve"> DL</w:t>
            </w:r>
          </w:p>
        </w:tc>
        <w:tc>
          <w:tcPr>
            <w:tcW w:w="4657" w:type="dxa"/>
            <w:shd w:val="clear" w:color="auto" w:fill="auto"/>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To check the impacts of A-IoT DL towards TN DL.</w:t>
            </w:r>
          </w:p>
          <w:p>
            <w:pPr>
              <w:pStyle w:val="39"/>
              <w:suppressLineNumbers w:val="0"/>
              <w:spacing w:before="0" w:beforeAutospacing="0" w:afterAutospacing="0"/>
              <w:ind w:left="0" w:right="0"/>
              <w:rPr>
                <w:rFonts w:hint="default"/>
                <w:lang w:val="en-US" w:eastAsia="zh-CN"/>
              </w:rPr>
            </w:pPr>
            <w:r>
              <w:rPr>
                <w:rFonts w:hint="eastAsia"/>
                <w:lang w:val="en-US" w:eastAsia="zh-CN"/>
              </w:rPr>
              <w:t>E.g. A-IoT BS ACLR and A-IoT UE ACLR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gridSpan w:val="8"/>
            <w:shd w:val="clear" w:color="auto" w:fill="auto"/>
            <w:noWrap w:val="0"/>
            <w:vAlign w:val="top"/>
          </w:tcPr>
          <w:p>
            <w:pPr>
              <w:pStyle w:val="40"/>
              <w:numPr>
                <w:ilvl w:val="0"/>
                <w:numId w:val="0"/>
              </w:numPr>
              <w:suppressLineNumbers w:val="0"/>
              <w:spacing w:before="0" w:beforeAutospacing="0" w:afterAutospacing="0"/>
              <w:ind w:left="0" w:leftChars="0" w:right="0"/>
              <w:rPr>
                <w:rFonts w:hint="eastAsia"/>
                <w:lang w:val="en-US" w:eastAsia="zh-CN"/>
              </w:rPr>
            </w:pPr>
            <w:r>
              <w:rPr>
                <w:rFonts w:hint="eastAsia"/>
                <w:lang w:val="en-US" w:eastAsia="zh-CN"/>
              </w:rPr>
              <w:t>NOTE 1: The threshold for CW signal reception is to be checked.</w:t>
            </w:r>
          </w:p>
          <w:p>
            <w:pPr>
              <w:pStyle w:val="40"/>
              <w:numPr>
                <w:ilvl w:val="0"/>
                <w:numId w:val="0"/>
              </w:numPr>
              <w:suppressLineNumbers w:val="0"/>
              <w:spacing w:before="0" w:beforeAutospacing="0" w:afterAutospacing="0"/>
              <w:ind w:left="0" w:leftChars="0" w:right="0"/>
              <w:rPr>
                <w:rFonts w:hint="eastAsia"/>
                <w:lang w:val="en-US" w:eastAsia="zh-CN"/>
              </w:rPr>
            </w:pPr>
            <w:r>
              <w:rPr>
                <w:rFonts w:hint="eastAsia"/>
                <w:lang w:val="en-US" w:eastAsia="zh-CN"/>
              </w:rPr>
              <w:t>NOTE 2: The threshold of OOK decoding is to be checked.</w:t>
            </w:r>
          </w:p>
          <w:p>
            <w:pPr>
              <w:pStyle w:val="40"/>
              <w:numPr>
                <w:ilvl w:val="0"/>
                <w:numId w:val="0"/>
              </w:numPr>
              <w:suppressLineNumbers w:val="0"/>
              <w:spacing w:before="0" w:beforeAutospacing="0" w:afterAutospacing="0"/>
              <w:ind w:left="0" w:leftChars="0" w:right="0"/>
              <w:rPr>
                <w:rFonts w:hint="default"/>
                <w:lang w:val="en-US" w:eastAsia="zh-CN"/>
              </w:rPr>
            </w:pPr>
            <w:r>
              <w:rPr>
                <w:rFonts w:hint="eastAsia"/>
                <w:lang w:val="en-US" w:eastAsia="zh-CN"/>
              </w:rPr>
              <w:t>NOTE 3: The standalone operation could be considered as well.</w:t>
            </w:r>
          </w:p>
        </w:tc>
      </w:tr>
    </w:tbl>
    <w:p>
      <w:pPr>
        <w:tabs>
          <w:tab w:val="left" w:pos="2127"/>
        </w:tabs>
        <w:spacing w:after="0"/>
        <w:rPr>
          <w:rFonts w:hint="eastAsia"/>
          <w:lang w:val="en-US" w:eastAsia="zh-CN"/>
        </w:rPr>
      </w:pPr>
    </w:p>
    <w:p>
      <w:pPr>
        <w:numPr>
          <w:ilvl w:val="0"/>
          <w:numId w:val="0"/>
        </w:numPr>
        <w:tabs>
          <w:tab w:val="left" w:pos="2127"/>
        </w:tabs>
        <w:spacing w:after="0"/>
        <w:jc w:val="center"/>
        <w:rPr>
          <w:rFonts w:hint="default"/>
          <w:lang w:val="en-US" w:eastAsia="zh-CN"/>
        </w:rPr>
      </w:pPr>
      <w:r>
        <w:rPr>
          <w:rFonts w:hint="eastAsia"/>
          <w:lang w:val="en-US" w:eastAsia="zh-CN"/>
        </w:rPr>
        <w:t>Table 2. Evaluation cases for A-IoT coexistence study for topology 2</w:t>
      </w:r>
    </w:p>
    <w:tbl>
      <w:tblPr>
        <w:tblStyle w:val="1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7"/>
        <w:gridCol w:w="845"/>
        <w:gridCol w:w="1236"/>
        <w:gridCol w:w="1217"/>
        <w:gridCol w:w="1553"/>
        <w:gridCol w:w="1200"/>
        <w:gridCol w:w="2471"/>
        <w:gridCol w:w="45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7" w:type="dxa"/>
            <w:noWrap w:val="0"/>
            <w:vAlign w:val="top"/>
          </w:tcPr>
          <w:p>
            <w:pPr>
              <w:pStyle w:val="38"/>
              <w:suppressLineNumbers w:val="0"/>
              <w:spacing w:before="0" w:beforeAutospacing="0" w:afterAutospacing="0"/>
              <w:ind w:left="0" w:right="0"/>
              <w:rPr>
                <w:rFonts w:hint="default" w:eastAsia="宋体"/>
                <w:lang w:val="en-US" w:eastAsia="zh-CN"/>
              </w:rPr>
            </w:pPr>
            <w:r>
              <w:rPr>
                <w:rFonts w:hint="eastAsia" w:eastAsia="宋体"/>
                <w:lang w:val="en-US" w:eastAsia="zh-CN"/>
              </w:rPr>
              <w:t>Topology</w:t>
            </w:r>
          </w:p>
        </w:tc>
        <w:tc>
          <w:tcPr>
            <w:tcW w:w="845" w:type="dxa"/>
            <w:noWrap w:val="0"/>
            <w:vAlign w:val="top"/>
          </w:tcPr>
          <w:p>
            <w:pPr>
              <w:pStyle w:val="38"/>
              <w:suppressLineNumbers w:val="0"/>
              <w:spacing w:before="0" w:beforeAutospacing="0" w:afterAutospacing="0"/>
              <w:ind w:left="0" w:right="0"/>
              <w:rPr>
                <w:rFonts w:hint="default" w:eastAsia="宋体"/>
                <w:lang w:val="en-US" w:eastAsia="zh-CN"/>
              </w:rPr>
            </w:pPr>
            <w:r>
              <w:rPr>
                <w:rFonts w:hint="eastAsia" w:eastAsia="宋体"/>
                <w:lang w:val="en-US" w:eastAsia="zh-CN"/>
              </w:rPr>
              <w:t xml:space="preserve">Case </w:t>
            </w:r>
          </w:p>
        </w:tc>
        <w:tc>
          <w:tcPr>
            <w:tcW w:w="1236" w:type="dxa"/>
            <w:noWrap w:val="0"/>
            <w:vAlign w:val="top"/>
          </w:tcPr>
          <w:p>
            <w:pPr>
              <w:pStyle w:val="38"/>
              <w:suppressLineNumbers w:val="0"/>
              <w:spacing w:before="0" w:beforeAutospacing="0" w:afterAutospacing="0"/>
              <w:ind w:left="0" w:right="0"/>
              <w:rPr>
                <w:rFonts w:hint="default"/>
              </w:rPr>
            </w:pPr>
            <w:r>
              <w:rPr>
                <w:rFonts w:hint="default"/>
              </w:rPr>
              <w:t>Aggressor</w:t>
            </w:r>
          </w:p>
        </w:tc>
        <w:tc>
          <w:tcPr>
            <w:tcW w:w="1217" w:type="dxa"/>
            <w:noWrap w:val="0"/>
            <w:vAlign w:val="top"/>
          </w:tcPr>
          <w:p>
            <w:pPr>
              <w:pStyle w:val="38"/>
              <w:suppressLineNumbers w:val="0"/>
              <w:spacing w:before="0" w:beforeAutospacing="0" w:afterAutospacing="0"/>
              <w:ind w:left="0" w:right="0"/>
              <w:rPr>
                <w:rFonts w:hint="default"/>
              </w:rPr>
            </w:pPr>
            <w:r>
              <w:rPr>
                <w:rFonts w:hint="default"/>
              </w:rPr>
              <w:t>Victim</w:t>
            </w:r>
          </w:p>
        </w:tc>
        <w:tc>
          <w:tcPr>
            <w:tcW w:w="1553" w:type="dxa"/>
            <w:noWrap w:val="0"/>
            <w:vAlign w:val="top"/>
          </w:tcPr>
          <w:p>
            <w:pPr>
              <w:pStyle w:val="38"/>
              <w:suppressLineNumbers w:val="0"/>
              <w:spacing w:before="0" w:beforeAutospacing="0" w:afterAutospacing="0"/>
              <w:ind w:left="0" w:right="0"/>
              <w:rPr>
                <w:rFonts w:hint="default" w:eastAsia="宋体"/>
                <w:lang w:val="en-US" w:eastAsia="zh-CN"/>
              </w:rPr>
            </w:pPr>
            <w:r>
              <w:rPr>
                <w:rFonts w:hint="eastAsia"/>
                <w:lang w:val="en-US" w:eastAsia="zh-CN"/>
              </w:rPr>
              <w:t>Mode</w:t>
            </w:r>
          </w:p>
        </w:tc>
        <w:tc>
          <w:tcPr>
            <w:tcW w:w="1200" w:type="dxa"/>
            <w:noWrap w:val="0"/>
            <w:vAlign w:val="top"/>
          </w:tcPr>
          <w:p>
            <w:pPr>
              <w:pStyle w:val="38"/>
              <w:suppressLineNumbers w:val="0"/>
              <w:spacing w:before="0" w:beforeAutospacing="0" w:afterAutospacing="0"/>
              <w:ind w:left="0" w:right="0"/>
              <w:rPr>
                <w:rFonts w:hint="default"/>
                <w:lang w:val="en-US" w:eastAsia="zh-CN"/>
              </w:rPr>
            </w:pPr>
            <w:r>
              <w:rPr>
                <w:rFonts w:hint="eastAsia"/>
                <w:lang w:val="en-US" w:eastAsia="zh-CN"/>
              </w:rPr>
              <w:t>Inventory command</w:t>
            </w:r>
          </w:p>
        </w:tc>
        <w:tc>
          <w:tcPr>
            <w:tcW w:w="2471" w:type="dxa"/>
            <w:noWrap w:val="0"/>
            <w:vAlign w:val="top"/>
          </w:tcPr>
          <w:p>
            <w:pPr>
              <w:pStyle w:val="38"/>
              <w:suppressLineNumbers w:val="0"/>
              <w:spacing w:before="0" w:beforeAutospacing="0" w:afterAutospacing="0"/>
              <w:ind w:left="0" w:right="0"/>
              <w:rPr>
                <w:rFonts w:hint="default" w:eastAsia="宋体"/>
                <w:lang w:val="en-US" w:eastAsia="zh-CN"/>
              </w:rPr>
            </w:pPr>
            <w:r>
              <w:rPr>
                <w:rFonts w:hint="eastAsia" w:eastAsia="宋体"/>
                <w:lang w:val="en-US" w:eastAsia="zh-CN"/>
              </w:rPr>
              <w:t>CW signal/Backscattering signal</w:t>
            </w:r>
          </w:p>
        </w:tc>
        <w:tc>
          <w:tcPr>
            <w:tcW w:w="4555" w:type="dxa"/>
            <w:noWrap w:val="0"/>
            <w:vAlign w:val="top"/>
          </w:tcPr>
          <w:p>
            <w:pPr>
              <w:pStyle w:val="38"/>
              <w:suppressLineNumbers w:val="0"/>
              <w:spacing w:before="0" w:beforeAutospacing="0" w:afterAutospacing="0"/>
              <w:ind w:left="0" w:right="0"/>
              <w:rPr>
                <w:rFonts w:hint="default"/>
              </w:rPr>
            </w:pPr>
            <w:r>
              <w:rPr>
                <w:rFonts w:hint="default"/>
              </w:rPr>
              <w:t>Study Phase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7" w:type="dxa"/>
            <w:noWrap w:val="0"/>
            <w:vAlign w:val="top"/>
          </w:tcPr>
          <w:p>
            <w:pPr>
              <w:pStyle w:val="39"/>
              <w:suppressLineNumbers w:val="0"/>
              <w:spacing w:before="0" w:beforeAutospacing="0" w:afterAutospacing="0"/>
              <w:ind w:left="0" w:right="0"/>
              <w:rPr>
                <w:rFonts w:hint="default" w:eastAsia="宋体"/>
                <w:lang w:val="en-US" w:eastAsia="zh-CN"/>
              </w:rPr>
            </w:pPr>
            <w:r>
              <w:rPr>
                <w:rFonts w:hint="eastAsia" w:eastAsia="宋体"/>
                <w:lang w:val="en-US" w:eastAsia="zh-CN"/>
              </w:rPr>
              <w:t>Case 2-2</w:t>
            </w:r>
          </w:p>
        </w:tc>
        <w:tc>
          <w:tcPr>
            <w:tcW w:w="845" w:type="dxa"/>
            <w:noWrap w:val="0"/>
            <w:vAlign w:val="top"/>
          </w:tcPr>
          <w:p>
            <w:pPr>
              <w:pStyle w:val="39"/>
              <w:suppressLineNumbers w:val="0"/>
              <w:spacing w:before="0" w:beforeAutospacing="0" w:afterAutospacing="0"/>
              <w:ind w:left="0" w:right="0"/>
              <w:rPr>
                <w:rFonts w:hint="default" w:eastAsia="宋体"/>
                <w:lang w:val="en-US" w:eastAsia="zh-CN"/>
              </w:rPr>
            </w:pPr>
            <w:r>
              <w:rPr>
                <w:rFonts w:hint="eastAsia" w:eastAsia="宋体"/>
                <w:lang w:val="en-US" w:eastAsia="zh-CN"/>
              </w:rPr>
              <w:t>1</w:t>
            </w:r>
          </w:p>
        </w:tc>
        <w:tc>
          <w:tcPr>
            <w:tcW w:w="1236" w:type="dxa"/>
            <w:noWrap w:val="0"/>
            <w:vAlign w:val="top"/>
          </w:tcPr>
          <w:p>
            <w:pPr>
              <w:pStyle w:val="39"/>
              <w:suppressLineNumbers w:val="0"/>
              <w:spacing w:before="0" w:beforeAutospacing="0" w:afterAutospacing="0"/>
              <w:ind w:left="0" w:right="0"/>
              <w:rPr>
                <w:rFonts w:hint="default" w:eastAsia="宋体"/>
                <w:lang w:val="en-US" w:eastAsia="zh-CN"/>
              </w:rPr>
            </w:pPr>
            <w:r>
              <w:rPr>
                <w:rFonts w:hint="eastAsia"/>
                <w:lang w:val="en-US" w:eastAsia="zh-CN"/>
              </w:rPr>
              <w:t xml:space="preserve">Legacy </w:t>
            </w:r>
            <w:r>
              <w:rPr>
                <w:rFonts w:hint="eastAsia"/>
              </w:rPr>
              <w:t xml:space="preserve">TN </w:t>
            </w:r>
            <w:r>
              <w:rPr>
                <w:rFonts w:hint="eastAsia" w:eastAsia="宋体"/>
                <w:lang w:val="en-US" w:eastAsia="zh-CN"/>
              </w:rPr>
              <w:t>UL</w:t>
            </w:r>
          </w:p>
        </w:tc>
        <w:tc>
          <w:tcPr>
            <w:tcW w:w="1217" w:type="dxa"/>
            <w:noWrap w:val="0"/>
            <w:vAlign w:val="top"/>
          </w:tcPr>
          <w:p>
            <w:pPr>
              <w:pStyle w:val="39"/>
              <w:suppressLineNumbers w:val="0"/>
              <w:spacing w:before="0" w:beforeAutospacing="0" w:afterAutospacing="0"/>
              <w:ind w:left="0" w:right="0"/>
              <w:rPr>
                <w:rFonts w:hint="default" w:eastAsia="宋体"/>
                <w:lang w:val="en-US" w:eastAsia="zh-CN"/>
              </w:rPr>
            </w:pPr>
            <w:r>
              <w:rPr>
                <w:rFonts w:hint="eastAsia"/>
                <w:lang w:val="en-US" w:eastAsia="zh-CN"/>
              </w:rPr>
              <w:t>A-IoT</w:t>
            </w:r>
            <w:r>
              <w:rPr>
                <w:rFonts w:hint="eastAsia"/>
              </w:rPr>
              <w:t xml:space="preserve"> </w:t>
            </w:r>
            <w:r>
              <w:rPr>
                <w:rFonts w:hint="eastAsia" w:eastAsia="宋体"/>
                <w:lang w:val="en-US" w:eastAsia="zh-CN"/>
              </w:rPr>
              <w:t>device</w:t>
            </w:r>
          </w:p>
        </w:tc>
        <w:tc>
          <w:tcPr>
            <w:tcW w:w="1553" w:type="dxa"/>
            <w:noWrap w:val="0"/>
            <w:vAlign w:val="top"/>
          </w:tcPr>
          <w:p>
            <w:pPr>
              <w:pStyle w:val="39"/>
              <w:suppressLineNumbers w:val="0"/>
              <w:spacing w:before="0" w:beforeAutospacing="0" w:afterAutospacing="0"/>
              <w:ind w:left="0" w:right="0"/>
              <w:rPr>
                <w:rFonts w:hint="default"/>
                <w:lang w:val="en-US" w:eastAsia="zh-CN"/>
              </w:rPr>
            </w:pPr>
            <w:r>
              <w:rPr>
                <w:rFonts w:hint="eastAsia"/>
                <w:lang w:val="en-US" w:eastAsia="zh-CN"/>
              </w:rPr>
              <w:t>In-band/guard band</w:t>
            </w:r>
          </w:p>
        </w:tc>
        <w:tc>
          <w:tcPr>
            <w:tcW w:w="1200" w:type="dxa"/>
            <w:noWrap w:val="0"/>
            <w:vAlign w:val="top"/>
          </w:tcPr>
          <w:p>
            <w:pPr>
              <w:pStyle w:val="39"/>
              <w:suppressLineNumbers w:val="0"/>
              <w:spacing w:before="0" w:beforeAutospacing="0" w:afterAutospacing="0"/>
              <w:ind w:left="0" w:right="0"/>
              <w:rPr>
                <w:rFonts w:hint="default"/>
                <w:lang w:val="en-US" w:eastAsia="zh-CN"/>
              </w:rPr>
            </w:pPr>
            <w:r>
              <w:rPr>
                <w:rFonts w:hint="eastAsia"/>
                <w:lang w:val="en-US" w:eastAsia="zh-CN"/>
              </w:rPr>
              <w:t>UL</w:t>
            </w:r>
          </w:p>
          <w:p>
            <w:pPr>
              <w:pStyle w:val="39"/>
              <w:suppressLineNumbers w:val="0"/>
              <w:spacing w:before="0" w:beforeAutospacing="0" w:afterAutospacing="0"/>
              <w:ind w:left="0" w:right="0"/>
              <w:rPr>
                <w:rFonts w:hint="default"/>
                <w:lang w:val="en-US" w:eastAsia="zh-CN"/>
              </w:rPr>
            </w:pPr>
          </w:p>
        </w:tc>
        <w:tc>
          <w:tcPr>
            <w:tcW w:w="2471" w:type="dxa"/>
            <w:noWrap w:val="0"/>
            <w:vAlign w:val="top"/>
          </w:tcPr>
          <w:p>
            <w:pPr>
              <w:pStyle w:val="40"/>
              <w:numPr>
                <w:ilvl w:val="0"/>
                <w:numId w:val="0"/>
              </w:numPr>
              <w:suppressLineNumbers w:val="0"/>
              <w:spacing w:before="0" w:beforeAutospacing="0" w:afterAutospacing="0"/>
              <w:ind w:left="0" w:leftChars="0" w:right="0"/>
              <w:rPr>
                <w:rFonts w:hint="eastAsia"/>
                <w:lang w:val="en-US" w:eastAsia="zh-CN"/>
              </w:rPr>
            </w:pPr>
            <w:r>
              <w:rPr>
                <w:rFonts w:hint="eastAsia"/>
                <w:lang w:val="en-US" w:eastAsia="zh-CN"/>
              </w:rPr>
              <w:t xml:space="preserve">     UL</w:t>
            </w:r>
          </w:p>
          <w:p>
            <w:pPr>
              <w:pStyle w:val="40"/>
              <w:numPr>
                <w:ilvl w:val="0"/>
                <w:numId w:val="0"/>
              </w:numPr>
              <w:suppressLineNumbers w:val="0"/>
              <w:spacing w:before="0" w:beforeAutospacing="0" w:afterAutospacing="0"/>
              <w:ind w:left="0" w:leftChars="0" w:right="0"/>
              <w:rPr>
                <w:rFonts w:hint="default"/>
                <w:lang w:val="en-US" w:eastAsia="zh-CN"/>
              </w:rPr>
            </w:pPr>
          </w:p>
        </w:tc>
        <w:tc>
          <w:tcPr>
            <w:tcW w:w="4555" w:type="dxa"/>
            <w:noWrap w:val="0"/>
            <w:vAlign w:val="top"/>
          </w:tcPr>
          <w:p>
            <w:pPr>
              <w:pStyle w:val="39"/>
              <w:suppressLineNumbers w:val="0"/>
              <w:spacing w:before="0" w:beforeAutospacing="0" w:afterAutospacing="0"/>
              <w:ind w:left="0" w:right="0"/>
              <w:rPr>
                <w:rFonts w:hint="default" w:eastAsia="宋体"/>
                <w:lang w:val="en-US" w:eastAsia="zh-CN"/>
              </w:rPr>
            </w:pPr>
            <w:r>
              <w:rPr>
                <w:rFonts w:hint="eastAsia"/>
                <w:lang w:val="en-US" w:eastAsia="zh-CN"/>
              </w:rPr>
              <w:t>To check ACS requirement of A-IoT device for OOK signal decoding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7" w:type="dxa"/>
            <w:noWrap w:val="0"/>
            <w:vAlign w:val="top"/>
          </w:tcPr>
          <w:p>
            <w:pPr>
              <w:pStyle w:val="39"/>
              <w:suppressLineNumbers w:val="0"/>
              <w:spacing w:before="0" w:beforeAutospacing="0" w:afterAutospacing="0"/>
              <w:ind w:left="0" w:right="0"/>
              <w:rPr>
                <w:rFonts w:hint="eastAsia" w:eastAsia="宋体"/>
                <w:lang w:val="en-US" w:eastAsia="zh-CN"/>
              </w:rPr>
            </w:pPr>
            <w:r>
              <w:rPr>
                <w:rFonts w:hint="eastAsia" w:eastAsia="宋体"/>
                <w:lang w:val="en-US" w:eastAsia="zh-CN"/>
              </w:rPr>
              <w:t>Case 2-2</w:t>
            </w:r>
          </w:p>
        </w:tc>
        <w:tc>
          <w:tcPr>
            <w:tcW w:w="845" w:type="dxa"/>
            <w:noWrap w:val="0"/>
            <w:vAlign w:val="top"/>
          </w:tcPr>
          <w:p>
            <w:pPr>
              <w:pStyle w:val="39"/>
              <w:suppressLineNumbers w:val="0"/>
              <w:spacing w:before="0" w:beforeAutospacing="0" w:afterAutospacing="0"/>
              <w:ind w:left="0" w:right="0"/>
              <w:rPr>
                <w:rFonts w:hint="default" w:eastAsia="宋体"/>
                <w:lang w:val="en-US" w:eastAsia="zh-CN"/>
              </w:rPr>
            </w:pPr>
            <w:r>
              <w:rPr>
                <w:rFonts w:hint="eastAsia" w:eastAsia="宋体"/>
                <w:lang w:val="en-US" w:eastAsia="zh-CN"/>
              </w:rPr>
              <w:t>2</w:t>
            </w:r>
          </w:p>
        </w:tc>
        <w:tc>
          <w:tcPr>
            <w:tcW w:w="1236" w:type="dxa"/>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 xml:space="preserve">Legacy </w:t>
            </w:r>
            <w:r>
              <w:rPr>
                <w:rFonts w:hint="eastAsia"/>
              </w:rPr>
              <w:t xml:space="preserve">TN </w:t>
            </w:r>
            <w:r>
              <w:rPr>
                <w:rFonts w:hint="eastAsia" w:eastAsia="宋体"/>
                <w:lang w:val="en-US" w:eastAsia="zh-CN"/>
              </w:rPr>
              <w:t>UL</w:t>
            </w:r>
          </w:p>
        </w:tc>
        <w:tc>
          <w:tcPr>
            <w:tcW w:w="1217" w:type="dxa"/>
            <w:noWrap w:val="0"/>
            <w:vAlign w:val="top"/>
          </w:tcPr>
          <w:p>
            <w:pPr>
              <w:pStyle w:val="39"/>
              <w:suppressLineNumbers w:val="0"/>
              <w:spacing w:before="0" w:beforeAutospacing="0" w:afterAutospacing="0"/>
              <w:ind w:left="0" w:right="0"/>
              <w:rPr>
                <w:rFonts w:hint="default"/>
                <w:lang w:val="en-US" w:eastAsia="zh-CN"/>
              </w:rPr>
            </w:pPr>
            <w:r>
              <w:rPr>
                <w:rFonts w:hint="eastAsia"/>
                <w:lang w:val="en-US" w:eastAsia="zh-CN"/>
              </w:rPr>
              <w:t>Intermediate UE</w:t>
            </w:r>
          </w:p>
        </w:tc>
        <w:tc>
          <w:tcPr>
            <w:tcW w:w="1553" w:type="dxa"/>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In-band/guard band</w:t>
            </w:r>
          </w:p>
        </w:tc>
        <w:tc>
          <w:tcPr>
            <w:tcW w:w="1200" w:type="dxa"/>
            <w:noWrap w:val="0"/>
            <w:vAlign w:val="top"/>
          </w:tcPr>
          <w:p>
            <w:pPr>
              <w:pStyle w:val="39"/>
              <w:suppressLineNumbers w:val="0"/>
              <w:spacing w:before="0" w:beforeAutospacing="0" w:afterAutospacing="0"/>
              <w:ind w:left="0" w:right="0"/>
              <w:rPr>
                <w:rFonts w:hint="default"/>
                <w:lang w:val="en-US" w:eastAsia="zh-CN"/>
              </w:rPr>
            </w:pPr>
            <w:r>
              <w:rPr>
                <w:rFonts w:hint="eastAsia"/>
                <w:lang w:val="en-US" w:eastAsia="zh-CN"/>
              </w:rPr>
              <w:t>UL</w:t>
            </w:r>
          </w:p>
        </w:tc>
        <w:tc>
          <w:tcPr>
            <w:tcW w:w="2471" w:type="dxa"/>
            <w:noWrap w:val="0"/>
            <w:vAlign w:val="top"/>
          </w:tcPr>
          <w:p>
            <w:pPr>
              <w:pStyle w:val="40"/>
              <w:numPr>
                <w:ilvl w:val="0"/>
                <w:numId w:val="0"/>
              </w:numPr>
              <w:suppressLineNumbers w:val="0"/>
              <w:spacing w:before="0" w:beforeAutospacing="0" w:afterAutospacing="0"/>
              <w:ind w:left="0" w:leftChars="0" w:right="0"/>
              <w:rPr>
                <w:rFonts w:hint="eastAsia"/>
                <w:lang w:val="en-US" w:eastAsia="zh-CN"/>
              </w:rPr>
            </w:pPr>
            <w:r>
              <w:rPr>
                <w:rFonts w:hint="eastAsia"/>
                <w:lang w:val="en-US" w:eastAsia="zh-CN"/>
              </w:rPr>
              <w:t xml:space="preserve">    UL</w:t>
            </w:r>
          </w:p>
        </w:tc>
        <w:tc>
          <w:tcPr>
            <w:tcW w:w="4555" w:type="dxa"/>
            <w:noWrap w:val="0"/>
            <w:vAlign w:val="top"/>
          </w:tcPr>
          <w:p>
            <w:pPr>
              <w:pStyle w:val="39"/>
              <w:suppressLineNumbers w:val="0"/>
              <w:spacing w:before="0" w:beforeAutospacing="0" w:afterAutospacing="0"/>
              <w:ind w:left="0" w:right="0"/>
              <w:rPr>
                <w:rFonts w:hint="default"/>
                <w:lang w:val="en-US" w:eastAsia="zh-CN"/>
              </w:rPr>
            </w:pPr>
            <w:r>
              <w:rPr>
                <w:rFonts w:hint="eastAsia"/>
                <w:lang w:val="en-US" w:eastAsia="zh-CN"/>
              </w:rPr>
              <w:t>To check the ACS requirement of intermediate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7" w:type="dxa"/>
            <w:noWrap w:val="0"/>
            <w:vAlign w:val="top"/>
          </w:tcPr>
          <w:p>
            <w:pPr>
              <w:pStyle w:val="39"/>
              <w:suppressLineNumbers w:val="0"/>
              <w:spacing w:before="0" w:beforeAutospacing="0" w:afterAutospacing="0"/>
              <w:ind w:left="0" w:right="0"/>
              <w:rPr>
                <w:rFonts w:hint="default" w:eastAsia="宋体"/>
                <w:lang w:val="en-US" w:eastAsia="zh-CN"/>
              </w:rPr>
            </w:pPr>
            <w:r>
              <w:rPr>
                <w:rFonts w:hint="eastAsia" w:eastAsia="宋体"/>
                <w:lang w:val="en-US" w:eastAsia="zh-CN"/>
              </w:rPr>
              <w:t>Case 2-2</w:t>
            </w:r>
          </w:p>
        </w:tc>
        <w:tc>
          <w:tcPr>
            <w:tcW w:w="845" w:type="dxa"/>
            <w:noWrap w:val="0"/>
            <w:vAlign w:val="top"/>
          </w:tcPr>
          <w:p>
            <w:pPr>
              <w:pStyle w:val="39"/>
              <w:suppressLineNumbers w:val="0"/>
              <w:spacing w:before="0" w:beforeAutospacing="0" w:afterAutospacing="0"/>
              <w:ind w:left="0" w:right="0"/>
              <w:rPr>
                <w:rFonts w:hint="default" w:eastAsia="宋体"/>
                <w:lang w:val="en-US" w:eastAsia="zh-CN"/>
              </w:rPr>
            </w:pPr>
            <w:r>
              <w:rPr>
                <w:rFonts w:hint="eastAsia" w:eastAsia="宋体"/>
                <w:lang w:val="en-US" w:eastAsia="zh-CN"/>
              </w:rPr>
              <w:t>3</w:t>
            </w:r>
          </w:p>
        </w:tc>
        <w:tc>
          <w:tcPr>
            <w:tcW w:w="1236" w:type="dxa"/>
            <w:noWrap w:val="0"/>
            <w:vAlign w:val="top"/>
          </w:tcPr>
          <w:p>
            <w:pPr>
              <w:pStyle w:val="39"/>
              <w:suppressLineNumbers w:val="0"/>
              <w:spacing w:before="0" w:beforeAutospacing="0" w:afterAutospacing="0"/>
              <w:ind w:left="0" w:right="0"/>
              <w:rPr>
                <w:rFonts w:hint="default" w:eastAsia="宋体"/>
                <w:lang w:val="en-US" w:eastAsia="zh-CN"/>
              </w:rPr>
            </w:pPr>
            <w:r>
              <w:rPr>
                <w:rFonts w:hint="eastAsia" w:eastAsia="宋体"/>
                <w:lang w:val="en-US" w:eastAsia="zh-CN"/>
              </w:rPr>
              <w:t>A-IoT UL</w:t>
            </w:r>
          </w:p>
        </w:tc>
        <w:tc>
          <w:tcPr>
            <w:tcW w:w="1217" w:type="dxa"/>
            <w:noWrap w:val="0"/>
            <w:vAlign w:val="top"/>
          </w:tcPr>
          <w:p>
            <w:pPr>
              <w:pStyle w:val="39"/>
              <w:suppressLineNumbers w:val="0"/>
              <w:spacing w:before="0" w:beforeAutospacing="0" w:afterAutospacing="0"/>
              <w:ind w:left="0" w:right="0"/>
              <w:rPr>
                <w:rFonts w:hint="default" w:eastAsia="宋体"/>
                <w:lang w:val="en-US" w:eastAsia="zh-CN"/>
              </w:rPr>
            </w:pPr>
            <w:r>
              <w:rPr>
                <w:rFonts w:hint="eastAsia"/>
                <w:lang w:val="en-US" w:eastAsia="zh-CN"/>
              </w:rPr>
              <w:t xml:space="preserve">Legacy </w:t>
            </w:r>
            <w:r>
              <w:rPr>
                <w:rFonts w:hint="eastAsia"/>
              </w:rPr>
              <w:t xml:space="preserve">TN </w:t>
            </w:r>
            <w:r>
              <w:rPr>
                <w:rFonts w:hint="eastAsia" w:eastAsia="宋体"/>
                <w:lang w:val="en-US" w:eastAsia="zh-CN"/>
              </w:rPr>
              <w:t>UL</w:t>
            </w:r>
          </w:p>
        </w:tc>
        <w:tc>
          <w:tcPr>
            <w:tcW w:w="1553" w:type="dxa"/>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In-band/guard band</w:t>
            </w:r>
          </w:p>
        </w:tc>
        <w:tc>
          <w:tcPr>
            <w:tcW w:w="1200" w:type="dxa"/>
            <w:noWrap w:val="0"/>
            <w:vAlign w:val="top"/>
          </w:tcPr>
          <w:p>
            <w:pPr>
              <w:pStyle w:val="39"/>
              <w:suppressLineNumbers w:val="0"/>
              <w:spacing w:before="0" w:beforeAutospacing="0" w:afterAutospacing="0"/>
              <w:ind w:left="0" w:right="0"/>
              <w:rPr>
                <w:rFonts w:hint="default"/>
                <w:lang w:val="en-US" w:eastAsia="zh-CN"/>
              </w:rPr>
            </w:pPr>
            <w:r>
              <w:rPr>
                <w:rFonts w:hint="eastAsia"/>
                <w:lang w:val="en-US" w:eastAsia="zh-CN"/>
              </w:rPr>
              <w:t>UL</w:t>
            </w:r>
          </w:p>
        </w:tc>
        <w:tc>
          <w:tcPr>
            <w:tcW w:w="2471" w:type="dxa"/>
            <w:noWrap w:val="0"/>
            <w:vAlign w:val="top"/>
          </w:tcPr>
          <w:p>
            <w:pPr>
              <w:pStyle w:val="40"/>
              <w:numPr>
                <w:ilvl w:val="0"/>
                <w:numId w:val="0"/>
              </w:numPr>
              <w:suppressLineNumbers w:val="0"/>
              <w:spacing w:before="0" w:beforeAutospacing="0" w:afterAutospacing="0"/>
              <w:ind w:left="0" w:leftChars="0" w:right="0" w:firstLine="360" w:firstLineChars="200"/>
              <w:rPr>
                <w:rFonts w:hint="default"/>
                <w:lang w:val="en-US" w:eastAsia="zh-CN"/>
              </w:rPr>
            </w:pPr>
            <w:r>
              <w:rPr>
                <w:rFonts w:hint="eastAsia"/>
                <w:lang w:val="en-US" w:eastAsia="zh-CN"/>
              </w:rPr>
              <w:t>UL</w:t>
            </w:r>
          </w:p>
        </w:tc>
        <w:tc>
          <w:tcPr>
            <w:tcW w:w="4555" w:type="dxa"/>
            <w:noWrap w:val="0"/>
            <w:vAlign w:val="top"/>
          </w:tcPr>
          <w:p>
            <w:pPr>
              <w:pStyle w:val="39"/>
              <w:suppressLineNumbers w:val="0"/>
              <w:spacing w:before="0" w:beforeAutospacing="0" w:afterAutospacing="0"/>
              <w:ind w:left="0" w:right="0"/>
              <w:rPr>
                <w:rFonts w:hint="default"/>
                <w:lang w:val="en-US" w:eastAsia="zh-CN"/>
              </w:rPr>
            </w:pPr>
            <w:r>
              <w:rPr>
                <w:rFonts w:hint="eastAsia"/>
                <w:lang w:val="en-US" w:eastAsia="zh-CN"/>
              </w:rPr>
              <w:t>To check the intermediate UE ACLR, A-IoT Device ACLR, CW impacts of legacy BS receiver.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7" w:type="dxa"/>
            <w:shd w:val="clear" w:color="auto" w:fill="FFFFFF" w:themeFill="background1"/>
            <w:noWrap w:val="0"/>
            <w:vAlign w:val="top"/>
          </w:tcPr>
          <w:p>
            <w:pPr>
              <w:pStyle w:val="39"/>
              <w:suppressLineNumbers w:val="0"/>
              <w:spacing w:before="0" w:beforeAutospacing="0" w:afterAutospacing="0"/>
              <w:ind w:left="0" w:right="0"/>
              <w:rPr>
                <w:rFonts w:hint="default" w:eastAsia="宋体"/>
                <w:lang w:val="en-US" w:eastAsia="zh-CN"/>
              </w:rPr>
            </w:pPr>
            <w:r>
              <w:rPr>
                <w:rFonts w:hint="eastAsia" w:eastAsia="宋体"/>
                <w:lang w:val="en-US" w:eastAsia="zh-CN"/>
              </w:rPr>
              <w:t>Case 2-4</w:t>
            </w:r>
          </w:p>
        </w:tc>
        <w:tc>
          <w:tcPr>
            <w:tcW w:w="845" w:type="dxa"/>
            <w:shd w:val="clear" w:color="auto" w:fill="FFFFFF" w:themeFill="background1"/>
            <w:noWrap w:val="0"/>
            <w:vAlign w:val="top"/>
          </w:tcPr>
          <w:p>
            <w:pPr>
              <w:pStyle w:val="39"/>
              <w:suppressLineNumbers w:val="0"/>
              <w:spacing w:before="0" w:beforeAutospacing="0" w:afterAutospacing="0"/>
              <w:ind w:left="0" w:right="0"/>
              <w:rPr>
                <w:rFonts w:hint="default" w:eastAsia="宋体"/>
                <w:lang w:val="en-US" w:eastAsia="zh-CN"/>
              </w:rPr>
            </w:pPr>
            <w:r>
              <w:rPr>
                <w:rFonts w:hint="eastAsia" w:eastAsia="宋体"/>
                <w:lang w:val="en-US" w:eastAsia="zh-CN"/>
              </w:rPr>
              <w:t>4</w:t>
            </w:r>
          </w:p>
        </w:tc>
        <w:tc>
          <w:tcPr>
            <w:tcW w:w="1236" w:type="dxa"/>
            <w:shd w:val="clear" w:color="auto" w:fill="FFFFFF" w:themeFill="background1"/>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 xml:space="preserve">Legacy </w:t>
            </w:r>
            <w:r>
              <w:rPr>
                <w:rFonts w:hint="eastAsia"/>
              </w:rPr>
              <w:t xml:space="preserve">TN </w:t>
            </w:r>
            <w:r>
              <w:rPr>
                <w:rFonts w:hint="eastAsia" w:eastAsia="宋体"/>
                <w:lang w:val="en-US" w:eastAsia="zh-CN"/>
              </w:rPr>
              <w:t>UL</w:t>
            </w:r>
          </w:p>
        </w:tc>
        <w:tc>
          <w:tcPr>
            <w:tcW w:w="1217" w:type="dxa"/>
            <w:shd w:val="clear" w:color="auto" w:fill="FFFFFF" w:themeFill="background1"/>
            <w:noWrap w:val="0"/>
            <w:vAlign w:val="top"/>
          </w:tcPr>
          <w:p>
            <w:pPr>
              <w:pStyle w:val="39"/>
              <w:suppressLineNumbers w:val="0"/>
              <w:spacing w:before="0" w:beforeAutospacing="0" w:afterAutospacing="0"/>
              <w:ind w:left="0" w:right="0"/>
              <w:rPr>
                <w:rFonts w:hint="default" w:eastAsia="宋体"/>
                <w:lang w:val="en-US" w:eastAsia="zh-CN"/>
              </w:rPr>
            </w:pPr>
            <w:r>
              <w:rPr>
                <w:rFonts w:hint="eastAsia"/>
                <w:lang w:val="en-US" w:eastAsia="zh-CN"/>
              </w:rPr>
              <w:t>A-IoT</w:t>
            </w:r>
            <w:r>
              <w:rPr>
                <w:rFonts w:hint="eastAsia"/>
              </w:rPr>
              <w:t xml:space="preserve"> </w:t>
            </w:r>
            <w:r>
              <w:rPr>
                <w:rFonts w:hint="eastAsia" w:eastAsia="宋体"/>
                <w:lang w:val="en-US" w:eastAsia="zh-CN"/>
              </w:rPr>
              <w:t>device</w:t>
            </w:r>
          </w:p>
        </w:tc>
        <w:tc>
          <w:tcPr>
            <w:tcW w:w="1553" w:type="dxa"/>
            <w:shd w:val="clear" w:color="auto" w:fill="FFFFFF" w:themeFill="background1"/>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In-band/guard band</w:t>
            </w:r>
          </w:p>
        </w:tc>
        <w:tc>
          <w:tcPr>
            <w:tcW w:w="1200" w:type="dxa"/>
            <w:shd w:val="clear" w:color="auto" w:fill="FFFFFF" w:themeFill="background1"/>
            <w:noWrap w:val="0"/>
            <w:vAlign w:val="top"/>
          </w:tcPr>
          <w:p>
            <w:pPr>
              <w:pStyle w:val="39"/>
              <w:suppressLineNumbers w:val="0"/>
              <w:spacing w:before="0" w:beforeAutospacing="0" w:afterAutospacing="0"/>
              <w:ind w:left="0" w:right="0"/>
              <w:rPr>
                <w:rFonts w:hint="default"/>
                <w:lang w:val="en-US" w:eastAsia="zh-CN"/>
              </w:rPr>
            </w:pPr>
            <w:r>
              <w:rPr>
                <w:rFonts w:hint="eastAsia"/>
                <w:lang w:val="en-US" w:eastAsia="zh-CN"/>
              </w:rPr>
              <w:t>UL</w:t>
            </w:r>
          </w:p>
          <w:p>
            <w:pPr>
              <w:pStyle w:val="39"/>
              <w:suppressLineNumbers w:val="0"/>
              <w:spacing w:before="0" w:beforeAutospacing="0" w:afterAutospacing="0"/>
              <w:ind w:left="0" w:right="0"/>
              <w:rPr>
                <w:rFonts w:hint="eastAsia"/>
                <w:lang w:val="en-US" w:eastAsia="zh-CN"/>
              </w:rPr>
            </w:pPr>
          </w:p>
        </w:tc>
        <w:tc>
          <w:tcPr>
            <w:tcW w:w="2471" w:type="dxa"/>
            <w:shd w:val="clear" w:color="auto" w:fill="FFFFFF" w:themeFill="background1"/>
            <w:noWrap w:val="0"/>
            <w:vAlign w:val="top"/>
          </w:tcPr>
          <w:p>
            <w:pPr>
              <w:pStyle w:val="40"/>
              <w:numPr>
                <w:ilvl w:val="0"/>
                <w:numId w:val="0"/>
              </w:numPr>
              <w:suppressLineNumbers w:val="0"/>
              <w:spacing w:before="0" w:beforeAutospacing="0" w:afterAutospacing="0"/>
              <w:ind w:left="0" w:leftChars="0" w:right="0"/>
              <w:rPr>
                <w:rFonts w:hint="eastAsia"/>
                <w:lang w:val="en-US" w:eastAsia="zh-CN"/>
              </w:rPr>
            </w:pPr>
            <w:r>
              <w:rPr>
                <w:rFonts w:hint="eastAsia"/>
                <w:lang w:val="en-US" w:eastAsia="zh-CN"/>
              </w:rPr>
              <w:t xml:space="preserve">     UL</w:t>
            </w:r>
          </w:p>
          <w:p>
            <w:pPr>
              <w:pStyle w:val="40"/>
              <w:numPr>
                <w:ilvl w:val="0"/>
                <w:numId w:val="0"/>
              </w:numPr>
              <w:suppressLineNumbers w:val="0"/>
              <w:spacing w:before="0" w:beforeAutospacing="0" w:afterAutospacing="0"/>
              <w:ind w:left="0" w:leftChars="0" w:right="0" w:firstLine="0" w:firstLineChars="0"/>
              <w:rPr>
                <w:rFonts w:hint="default"/>
                <w:lang w:val="en-US" w:eastAsia="zh-CN"/>
              </w:rPr>
            </w:pPr>
          </w:p>
        </w:tc>
        <w:tc>
          <w:tcPr>
            <w:tcW w:w="4555" w:type="dxa"/>
            <w:shd w:val="clear" w:color="auto" w:fill="FFFFFF" w:themeFill="background1"/>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To check ACS requirement of A-IoT device for OOK signal decoding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7" w:type="dxa"/>
            <w:shd w:val="clear" w:color="auto" w:fill="FFFFFF" w:themeFill="background1"/>
            <w:noWrap w:val="0"/>
            <w:vAlign w:val="top"/>
          </w:tcPr>
          <w:p>
            <w:pPr>
              <w:pStyle w:val="39"/>
              <w:suppressLineNumbers w:val="0"/>
              <w:spacing w:before="0" w:beforeAutospacing="0" w:afterAutospacing="0"/>
              <w:ind w:left="0" w:right="0"/>
              <w:rPr>
                <w:rFonts w:hint="eastAsia" w:eastAsia="宋体"/>
                <w:lang w:val="en-US" w:eastAsia="zh-CN"/>
              </w:rPr>
            </w:pPr>
            <w:r>
              <w:rPr>
                <w:rFonts w:hint="eastAsia" w:eastAsia="宋体"/>
                <w:lang w:val="en-US" w:eastAsia="zh-CN"/>
              </w:rPr>
              <w:t>Case 2-4</w:t>
            </w:r>
          </w:p>
        </w:tc>
        <w:tc>
          <w:tcPr>
            <w:tcW w:w="845" w:type="dxa"/>
            <w:shd w:val="clear" w:color="auto" w:fill="FFFFFF" w:themeFill="background1"/>
            <w:noWrap w:val="0"/>
            <w:vAlign w:val="top"/>
          </w:tcPr>
          <w:p>
            <w:pPr>
              <w:pStyle w:val="39"/>
              <w:suppressLineNumbers w:val="0"/>
              <w:spacing w:before="0" w:beforeAutospacing="0" w:afterAutospacing="0"/>
              <w:ind w:left="0" w:right="0"/>
              <w:rPr>
                <w:rFonts w:hint="default" w:eastAsia="宋体"/>
                <w:lang w:val="en-US" w:eastAsia="zh-CN"/>
              </w:rPr>
            </w:pPr>
            <w:r>
              <w:rPr>
                <w:rFonts w:hint="eastAsia" w:eastAsia="宋体"/>
                <w:lang w:val="en-US" w:eastAsia="zh-CN"/>
              </w:rPr>
              <w:t>5</w:t>
            </w:r>
          </w:p>
        </w:tc>
        <w:tc>
          <w:tcPr>
            <w:tcW w:w="1236" w:type="dxa"/>
            <w:shd w:val="clear" w:color="auto" w:fill="FFFFFF" w:themeFill="background1"/>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 xml:space="preserve">Legacy </w:t>
            </w:r>
            <w:r>
              <w:rPr>
                <w:rFonts w:hint="eastAsia"/>
              </w:rPr>
              <w:t xml:space="preserve">TN </w:t>
            </w:r>
            <w:r>
              <w:rPr>
                <w:rFonts w:hint="eastAsia" w:eastAsia="宋体"/>
                <w:lang w:val="en-US" w:eastAsia="zh-CN"/>
              </w:rPr>
              <w:t>UL</w:t>
            </w:r>
          </w:p>
        </w:tc>
        <w:tc>
          <w:tcPr>
            <w:tcW w:w="1217" w:type="dxa"/>
            <w:shd w:val="clear" w:color="auto" w:fill="FFFFFF" w:themeFill="background1"/>
            <w:noWrap w:val="0"/>
            <w:vAlign w:val="top"/>
          </w:tcPr>
          <w:p>
            <w:pPr>
              <w:pStyle w:val="39"/>
              <w:suppressLineNumbers w:val="0"/>
              <w:spacing w:before="0" w:beforeAutospacing="0" w:afterAutospacing="0"/>
              <w:ind w:left="0" w:right="0"/>
              <w:rPr>
                <w:rFonts w:hint="default" w:eastAsia="宋体"/>
                <w:lang w:val="en-US" w:eastAsia="zh-CN"/>
              </w:rPr>
            </w:pPr>
            <w:r>
              <w:rPr>
                <w:rFonts w:hint="eastAsia"/>
                <w:lang w:val="en-US" w:eastAsia="zh-CN"/>
              </w:rPr>
              <w:t>Intermediate UE</w:t>
            </w:r>
          </w:p>
        </w:tc>
        <w:tc>
          <w:tcPr>
            <w:tcW w:w="1553" w:type="dxa"/>
            <w:shd w:val="clear" w:color="auto" w:fill="FFFFFF" w:themeFill="background1"/>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In-band/guard band</w:t>
            </w:r>
          </w:p>
        </w:tc>
        <w:tc>
          <w:tcPr>
            <w:tcW w:w="1200" w:type="dxa"/>
            <w:shd w:val="clear" w:color="auto" w:fill="FFFFFF" w:themeFill="background1"/>
            <w:noWrap w:val="0"/>
            <w:vAlign w:val="top"/>
          </w:tcPr>
          <w:p>
            <w:pPr>
              <w:pStyle w:val="39"/>
              <w:suppressLineNumbers w:val="0"/>
              <w:spacing w:before="0" w:beforeAutospacing="0" w:afterAutospacing="0"/>
              <w:ind w:left="0" w:right="0"/>
              <w:rPr>
                <w:rFonts w:hint="default"/>
                <w:lang w:val="en-US" w:eastAsia="zh-CN"/>
              </w:rPr>
            </w:pPr>
            <w:r>
              <w:rPr>
                <w:rFonts w:hint="eastAsia"/>
                <w:lang w:val="en-US" w:eastAsia="zh-CN"/>
              </w:rPr>
              <w:t>UL</w:t>
            </w:r>
          </w:p>
        </w:tc>
        <w:tc>
          <w:tcPr>
            <w:tcW w:w="2471" w:type="dxa"/>
            <w:shd w:val="clear" w:color="auto" w:fill="FFFFFF" w:themeFill="background1"/>
            <w:noWrap w:val="0"/>
            <w:vAlign w:val="top"/>
          </w:tcPr>
          <w:p>
            <w:pPr>
              <w:pStyle w:val="40"/>
              <w:numPr>
                <w:ilvl w:val="0"/>
                <w:numId w:val="0"/>
              </w:numPr>
              <w:suppressLineNumbers w:val="0"/>
              <w:spacing w:before="0" w:beforeAutospacing="0" w:afterAutospacing="0"/>
              <w:ind w:left="0" w:leftChars="0" w:right="0" w:firstLine="0" w:firstLineChars="0"/>
              <w:rPr>
                <w:rFonts w:hint="eastAsia"/>
                <w:lang w:val="en-US" w:eastAsia="zh-CN"/>
              </w:rPr>
            </w:pPr>
            <w:r>
              <w:rPr>
                <w:rFonts w:hint="eastAsia"/>
                <w:lang w:val="en-US" w:eastAsia="zh-CN"/>
              </w:rPr>
              <w:t xml:space="preserve">    UL</w:t>
            </w:r>
          </w:p>
        </w:tc>
        <w:tc>
          <w:tcPr>
            <w:tcW w:w="4555" w:type="dxa"/>
            <w:shd w:val="clear" w:color="auto" w:fill="FFFFFF" w:themeFill="background1"/>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To check the ACS requirement of intermediate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7" w:type="dxa"/>
            <w:shd w:val="clear" w:color="auto" w:fill="FFFFFF" w:themeFill="background1"/>
            <w:noWrap w:val="0"/>
            <w:vAlign w:val="top"/>
          </w:tcPr>
          <w:p>
            <w:pPr>
              <w:pStyle w:val="39"/>
              <w:suppressLineNumbers w:val="0"/>
              <w:spacing w:before="0" w:beforeAutospacing="0" w:afterAutospacing="0"/>
              <w:ind w:left="0" w:right="0"/>
              <w:rPr>
                <w:rFonts w:hint="default" w:eastAsia="宋体"/>
                <w:lang w:val="en-US" w:eastAsia="zh-CN"/>
              </w:rPr>
            </w:pPr>
            <w:r>
              <w:rPr>
                <w:rFonts w:hint="eastAsia" w:eastAsia="宋体"/>
                <w:lang w:val="en-US" w:eastAsia="zh-CN"/>
              </w:rPr>
              <w:t>Case 2-4</w:t>
            </w:r>
          </w:p>
        </w:tc>
        <w:tc>
          <w:tcPr>
            <w:tcW w:w="845" w:type="dxa"/>
            <w:shd w:val="clear" w:color="auto" w:fill="FFFFFF" w:themeFill="background1"/>
            <w:noWrap w:val="0"/>
            <w:vAlign w:val="top"/>
          </w:tcPr>
          <w:p>
            <w:pPr>
              <w:pStyle w:val="39"/>
              <w:suppressLineNumbers w:val="0"/>
              <w:spacing w:before="0" w:beforeAutospacing="0" w:afterAutospacing="0"/>
              <w:ind w:left="0" w:right="0"/>
              <w:rPr>
                <w:rFonts w:hint="default" w:eastAsia="宋体"/>
                <w:lang w:val="en-US" w:eastAsia="zh-CN"/>
              </w:rPr>
            </w:pPr>
            <w:r>
              <w:rPr>
                <w:rFonts w:hint="eastAsia" w:eastAsia="宋体"/>
                <w:lang w:val="en-US" w:eastAsia="zh-CN"/>
              </w:rPr>
              <w:t>6</w:t>
            </w:r>
          </w:p>
        </w:tc>
        <w:tc>
          <w:tcPr>
            <w:tcW w:w="1236" w:type="dxa"/>
            <w:shd w:val="clear" w:color="auto" w:fill="FFFFFF" w:themeFill="background1"/>
            <w:noWrap w:val="0"/>
            <w:vAlign w:val="top"/>
          </w:tcPr>
          <w:p>
            <w:pPr>
              <w:pStyle w:val="39"/>
              <w:suppressLineNumbers w:val="0"/>
              <w:spacing w:before="0" w:beforeAutospacing="0" w:afterAutospacing="0"/>
              <w:ind w:left="0" w:right="0"/>
              <w:rPr>
                <w:rFonts w:hint="eastAsia"/>
                <w:lang w:val="en-US" w:eastAsia="zh-CN"/>
              </w:rPr>
            </w:pPr>
            <w:r>
              <w:rPr>
                <w:rFonts w:hint="eastAsia" w:eastAsia="宋体"/>
                <w:lang w:val="en-US" w:eastAsia="zh-CN"/>
              </w:rPr>
              <w:t>A-IoT UL</w:t>
            </w:r>
          </w:p>
        </w:tc>
        <w:tc>
          <w:tcPr>
            <w:tcW w:w="1217" w:type="dxa"/>
            <w:shd w:val="clear" w:color="auto" w:fill="FFFFFF" w:themeFill="background1"/>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 xml:space="preserve">Legacy </w:t>
            </w:r>
            <w:r>
              <w:rPr>
                <w:rFonts w:hint="eastAsia"/>
              </w:rPr>
              <w:t xml:space="preserve">TN </w:t>
            </w:r>
            <w:r>
              <w:rPr>
                <w:rFonts w:hint="eastAsia" w:eastAsia="宋体"/>
                <w:lang w:val="en-US" w:eastAsia="zh-CN"/>
              </w:rPr>
              <w:t>UL</w:t>
            </w:r>
          </w:p>
        </w:tc>
        <w:tc>
          <w:tcPr>
            <w:tcW w:w="1553" w:type="dxa"/>
            <w:shd w:val="clear" w:color="auto" w:fill="FFFFFF" w:themeFill="background1"/>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In-band/guard band</w:t>
            </w:r>
          </w:p>
        </w:tc>
        <w:tc>
          <w:tcPr>
            <w:tcW w:w="1200" w:type="dxa"/>
            <w:shd w:val="clear" w:color="auto" w:fill="FFFFFF" w:themeFill="background1"/>
            <w:noWrap w:val="0"/>
            <w:vAlign w:val="top"/>
          </w:tcPr>
          <w:p>
            <w:pPr>
              <w:pStyle w:val="39"/>
              <w:suppressLineNumbers w:val="0"/>
              <w:spacing w:before="0" w:beforeAutospacing="0" w:afterAutospacing="0"/>
              <w:ind w:left="0" w:right="0"/>
              <w:rPr>
                <w:rFonts w:hint="default"/>
                <w:lang w:val="en-US" w:eastAsia="zh-CN"/>
              </w:rPr>
            </w:pPr>
            <w:r>
              <w:rPr>
                <w:rFonts w:hint="eastAsia"/>
                <w:lang w:val="en-US" w:eastAsia="zh-CN"/>
              </w:rPr>
              <w:t>UL</w:t>
            </w:r>
          </w:p>
        </w:tc>
        <w:tc>
          <w:tcPr>
            <w:tcW w:w="2471" w:type="dxa"/>
            <w:shd w:val="clear" w:color="auto" w:fill="FFFFFF" w:themeFill="background1"/>
            <w:noWrap w:val="0"/>
            <w:vAlign w:val="top"/>
          </w:tcPr>
          <w:p>
            <w:pPr>
              <w:pStyle w:val="40"/>
              <w:numPr>
                <w:ilvl w:val="0"/>
                <w:numId w:val="0"/>
              </w:numPr>
              <w:suppressLineNumbers w:val="0"/>
              <w:spacing w:before="0" w:beforeAutospacing="0" w:afterAutospacing="0"/>
              <w:ind w:left="0" w:leftChars="0" w:right="0" w:firstLine="360" w:firstLineChars="200"/>
              <w:rPr>
                <w:rFonts w:hint="eastAsia"/>
                <w:lang w:val="en-US" w:eastAsia="zh-CN"/>
              </w:rPr>
            </w:pPr>
            <w:r>
              <w:rPr>
                <w:rFonts w:hint="eastAsia"/>
                <w:lang w:val="en-US" w:eastAsia="zh-CN"/>
              </w:rPr>
              <w:t>UL</w:t>
            </w:r>
          </w:p>
        </w:tc>
        <w:tc>
          <w:tcPr>
            <w:tcW w:w="4555" w:type="dxa"/>
            <w:shd w:val="clear" w:color="auto" w:fill="FFFFFF" w:themeFill="background1"/>
            <w:noWrap w:val="0"/>
            <w:vAlign w:val="top"/>
          </w:tcPr>
          <w:p>
            <w:pPr>
              <w:pStyle w:val="39"/>
              <w:suppressLineNumbers w:val="0"/>
              <w:spacing w:before="0" w:beforeAutospacing="0" w:afterAutospacing="0"/>
              <w:ind w:left="0" w:right="0"/>
              <w:rPr>
                <w:rFonts w:hint="default"/>
                <w:lang w:val="en-US" w:eastAsia="zh-CN"/>
              </w:rPr>
            </w:pPr>
            <w:r>
              <w:rPr>
                <w:rFonts w:hint="eastAsia"/>
                <w:lang w:val="en-US" w:eastAsia="zh-CN"/>
              </w:rPr>
              <w:t>To check the intermediate UE ACLR, A-IoT Device ACLR, CW impacts of legacy BS receiver.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7" w:type="dxa"/>
            <w:noWrap w:val="0"/>
            <w:vAlign w:val="top"/>
          </w:tcPr>
          <w:p>
            <w:pPr>
              <w:pStyle w:val="39"/>
              <w:suppressLineNumbers w:val="0"/>
              <w:spacing w:before="0" w:beforeAutospacing="0" w:afterAutospacing="0"/>
              <w:ind w:left="0" w:right="0"/>
              <w:rPr>
                <w:rFonts w:hint="default" w:eastAsia="宋体"/>
                <w:lang w:val="en-US" w:eastAsia="zh-CN"/>
              </w:rPr>
            </w:pPr>
            <w:r>
              <w:rPr>
                <w:rFonts w:hint="eastAsia" w:eastAsia="宋体"/>
                <w:lang w:val="en-US" w:eastAsia="zh-CN"/>
              </w:rPr>
              <w:t>Case 2-3</w:t>
            </w:r>
          </w:p>
        </w:tc>
        <w:tc>
          <w:tcPr>
            <w:tcW w:w="845" w:type="dxa"/>
            <w:noWrap w:val="0"/>
            <w:vAlign w:val="top"/>
          </w:tcPr>
          <w:p>
            <w:pPr>
              <w:pStyle w:val="39"/>
              <w:suppressLineNumbers w:val="0"/>
              <w:spacing w:before="0" w:beforeAutospacing="0" w:afterAutospacing="0"/>
              <w:ind w:left="0" w:right="0"/>
              <w:rPr>
                <w:rFonts w:hint="default" w:eastAsia="宋体"/>
                <w:lang w:val="en-US" w:eastAsia="zh-CN"/>
              </w:rPr>
            </w:pPr>
            <w:r>
              <w:rPr>
                <w:rFonts w:hint="eastAsia" w:eastAsia="宋体"/>
                <w:lang w:val="en-US" w:eastAsia="zh-CN"/>
              </w:rPr>
              <w:t>7</w:t>
            </w:r>
          </w:p>
        </w:tc>
        <w:tc>
          <w:tcPr>
            <w:tcW w:w="1236" w:type="dxa"/>
            <w:noWrap w:val="0"/>
            <w:vAlign w:val="top"/>
          </w:tcPr>
          <w:p>
            <w:pPr>
              <w:pStyle w:val="39"/>
              <w:suppressLineNumbers w:val="0"/>
              <w:spacing w:before="0" w:beforeAutospacing="0" w:afterAutospacing="0"/>
              <w:ind w:left="0" w:right="0"/>
              <w:rPr>
                <w:rFonts w:hint="default"/>
              </w:rPr>
            </w:pPr>
            <w:r>
              <w:rPr>
                <w:rFonts w:hint="eastAsia"/>
                <w:lang w:val="en-US" w:eastAsia="zh-CN"/>
              </w:rPr>
              <w:t xml:space="preserve">Legacy </w:t>
            </w:r>
            <w:r>
              <w:rPr>
                <w:rFonts w:hint="eastAsia"/>
              </w:rPr>
              <w:t xml:space="preserve">TN </w:t>
            </w:r>
            <w:r>
              <w:rPr>
                <w:rFonts w:hint="eastAsia" w:eastAsia="宋体"/>
                <w:lang w:val="en-US" w:eastAsia="zh-CN"/>
              </w:rPr>
              <w:t>UL</w:t>
            </w:r>
          </w:p>
        </w:tc>
        <w:tc>
          <w:tcPr>
            <w:tcW w:w="1217" w:type="dxa"/>
            <w:noWrap w:val="0"/>
            <w:vAlign w:val="top"/>
          </w:tcPr>
          <w:p>
            <w:pPr>
              <w:pStyle w:val="39"/>
              <w:suppressLineNumbers w:val="0"/>
              <w:spacing w:before="0" w:beforeAutospacing="0" w:afterAutospacing="0"/>
              <w:ind w:left="0" w:right="0"/>
              <w:rPr>
                <w:rFonts w:hint="default" w:eastAsia="宋体"/>
                <w:lang w:val="en-US" w:eastAsia="zh-CN"/>
              </w:rPr>
            </w:pPr>
            <w:r>
              <w:rPr>
                <w:rFonts w:hint="eastAsia"/>
                <w:lang w:val="en-US" w:eastAsia="zh-CN"/>
              </w:rPr>
              <w:t>A-IoT</w:t>
            </w:r>
            <w:r>
              <w:rPr>
                <w:rFonts w:hint="eastAsia"/>
              </w:rPr>
              <w:t xml:space="preserve"> </w:t>
            </w:r>
            <w:r>
              <w:rPr>
                <w:rFonts w:hint="eastAsia" w:eastAsia="宋体"/>
                <w:lang w:val="en-US" w:eastAsia="zh-CN"/>
              </w:rPr>
              <w:t>device</w:t>
            </w:r>
          </w:p>
        </w:tc>
        <w:tc>
          <w:tcPr>
            <w:tcW w:w="1553" w:type="dxa"/>
            <w:noWrap w:val="0"/>
            <w:vAlign w:val="top"/>
          </w:tcPr>
          <w:p>
            <w:pPr>
              <w:pStyle w:val="39"/>
              <w:suppressLineNumbers w:val="0"/>
              <w:spacing w:before="0" w:beforeAutospacing="0" w:afterAutospacing="0"/>
              <w:ind w:left="0" w:right="0"/>
              <w:rPr>
                <w:rFonts w:hint="default"/>
                <w:lang w:val="en-US" w:eastAsia="zh-CN"/>
              </w:rPr>
            </w:pPr>
            <w:r>
              <w:rPr>
                <w:rFonts w:hint="eastAsia"/>
                <w:lang w:val="en-US" w:eastAsia="zh-CN"/>
              </w:rPr>
              <w:t>In-band/guard band</w:t>
            </w:r>
          </w:p>
        </w:tc>
        <w:tc>
          <w:tcPr>
            <w:tcW w:w="1200" w:type="dxa"/>
            <w:noWrap w:val="0"/>
            <w:vAlign w:val="top"/>
          </w:tcPr>
          <w:p>
            <w:pPr>
              <w:pStyle w:val="39"/>
              <w:suppressLineNumbers w:val="0"/>
              <w:spacing w:before="0" w:beforeAutospacing="0" w:afterAutospacing="0"/>
              <w:ind w:left="0" w:right="0"/>
              <w:rPr>
                <w:rFonts w:hint="default"/>
                <w:lang w:val="en-US" w:eastAsia="zh-CN"/>
              </w:rPr>
            </w:pPr>
            <w:r>
              <w:rPr>
                <w:rFonts w:hint="eastAsia"/>
                <w:lang w:val="en-US" w:eastAsia="zh-CN"/>
              </w:rPr>
              <w:t>UL</w:t>
            </w:r>
          </w:p>
          <w:p>
            <w:pPr>
              <w:pStyle w:val="39"/>
              <w:suppressLineNumbers w:val="0"/>
              <w:spacing w:before="0" w:beforeAutospacing="0" w:afterAutospacing="0"/>
              <w:ind w:left="0" w:right="0"/>
              <w:rPr>
                <w:rFonts w:hint="default"/>
                <w:lang w:val="en-US" w:eastAsia="zh-CN"/>
              </w:rPr>
            </w:pPr>
          </w:p>
        </w:tc>
        <w:tc>
          <w:tcPr>
            <w:tcW w:w="2471" w:type="dxa"/>
            <w:noWrap w:val="0"/>
            <w:vAlign w:val="top"/>
          </w:tcPr>
          <w:p>
            <w:pPr>
              <w:pStyle w:val="40"/>
              <w:numPr>
                <w:ilvl w:val="0"/>
                <w:numId w:val="0"/>
              </w:numPr>
              <w:suppressLineNumbers w:val="0"/>
              <w:spacing w:before="0" w:beforeAutospacing="0" w:afterAutospacing="0"/>
              <w:ind w:left="0" w:leftChars="0" w:right="0"/>
              <w:rPr>
                <w:rFonts w:hint="default"/>
                <w:lang w:val="en-US" w:eastAsia="zh-CN"/>
              </w:rPr>
            </w:pPr>
            <w:r>
              <w:rPr>
                <w:rFonts w:hint="eastAsia"/>
                <w:lang w:val="en-US" w:eastAsia="zh-CN"/>
              </w:rPr>
              <w:t xml:space="preserve">    DL</w:t>
            </w:r>
          </w:p>
          <w:p>
            <w:pPr>
              <w:pStyle w:val="40"/>
              <w:numPr>
                <w:ilvl w:val="0"/>
                <w:numId w:val="0"/>
              </w:numPr>
              <w:suppressLineNumbers w:val="0"/>
              <w:spacing w:before="0" w:beforeAutospacing="0" w:afterAutospacing="0"/>
              <w:ind w:left="0" w:leftChars="0" w:right="0" w:firstLine="0" w:firstLineChars="0"/>
              <w:rPr>
                <w:rFonts w:hint="default"/>
                <w:lang w:val="en-US" w:eastAsia="zh-CN"/>
              </w:rPr>
            </w:pPr>
          </w:p>
        </w:tc>
        <w:tc>
          <w:tcPr>
            <w:tcW w:w="4555" w:type="dxa"/>
            <w:noWrap w:val="0"/>
            <w:vAlign w:val="top"/>
          </w:tcPr>
          <w:p>
            <w:pPr>
              <w:pStyle w:val="39"/>
              <w:suppressLineNumbers w:val="0"/>
              <w:spacing w:before="0" w:beforeAutospacing="0" w:afterAutospacing="0"/>
              <w:ind w:left="0" w:right="0"/>
              <w:rPr>
                <w:rFonts w:hint="default" w:eastAsia="宋体"/>
                <w:lang w:val="en-US" w:eastAsia="zh-CN"/>
              </w:rPr>
            </w:pPr>
            <w:r>
              <w:rPr>
                <w:rFonts w:hint="eastAsia"/>
                <w:lang w:val="en-US" w:eastAsia="zh-CN"/>
              </w:rPr>
              <w:t>To check ACS requirement of A-IoT device for OOK signal decoding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7" w:type="dxa"/>
            <w:noWrap w:val="0"/>
            <w:vAlign w:val="top"/>
          </w:tcPr>
          <w:p>
            <w:pPr>
              <w:pStyle w:val="39"/>
              <w:suppressLineNumbers w:val="0"/>
              <w:spacing w:before="0" w:beforeAutospacing="0" w:afterAutospacing="0"/>
              <w:ind w:left="0" w:right="0"/>
              <w:rPr>
                <w:rFonts w:hint="default" w:eastAsia="宋体"/>
                <w:lang w:val="en-US" w:eastAsia="zh-CN"/>
              </w:rPr>
            </w:pPr>
            <w:r>
              <w:rPr>
                <w:rFonts w:hint="eastAsia" w:eastAsia="宋体"/>
                <w:lang w:val="en-US" w:eastAsia="zh-CN"/>
              </w:rPr>
              <w:t>Case 2-3</w:t>
            </w:r>
          </w:p>
        </w:tc>
        <w:tc>
          <w:tcPr>
            <w:tcW w:w="845" w:type="dxa"/>
            <w:noWrap w:val="0"/>
            <w:vAlign w:val="top"/>
          </w:tcPr>
          <w:p>
            <w:pPr>
              <w:pStyle w:val="39"/>
              <w:suppressLineNumbers w:val="0"/>
              <w:spacing w:before="0" w:beforeAutospacing="0" w:afterAutospacing="0"/>
              <w:ind w:left="0" w:right="0"/>
              <w:rPr>
                <w:rFonts w:hint="default" w:eastAsia="宋体"/>
                <w:lang w:val="en-US" w:eastAsia="zh-CN"/>
              </w:rPr>
            </w:pPr>
            <w:r>
              <w:rPr>
                <w:rFonts w:hint="eastAsia" w:eastAsia="宋体"/>
                <w:lang w:val="en-US" w:eastAsia="zh-CN"/>
              </w:rPr>
              <w:t>8</w:t>
            </w:r>
          </w:p>
        </w:tc>
        <w:tc>
          <w:tcPr>
            <w:tcW w:w="1236" w:type="dxa"/>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 xml:space="preserve">Legacy </w:t>
            </w:r>
            <w:r>
              <w:rPr>
                <w:rFonts w:hint="eastAsia"/>
              </w:rPr>
              <w:t>TN</w:t>
            </w:r>
            <w:r>
              <w:rPr>
                <w:rFonts w:hint="eastAsia" w:eastAsia="宋体"/>
                <w:lang w:val="en-US" w:eastAsia="zh-CN"/>
              </w:rPr>
              <w:t xml:space="preserve"> DL</w:t>
            </w:r>
          </w:p>
        </w:tc>
        <w:tc>
          <w:tcPr>
            <w:tcW w:w="1217" w:type="dxa"/>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Intermediate UE</w:t>
            </w:r>
          </w:p>
        </w:tc>
        <w:tc>
          <w:tcPr>
            <w:tcW w:w="1553" w:type="dxa"/>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In-band/guard band</w:t>
            </w:r>
          </w:p>
        </w:tc>
        <w:tc>
          <w:tcPr>
            <w:tcW w:w="1200" w:type="dxa"/>
            <w:noWrap w:val="0"/>
            <w:vAlign w:val="top"/>
          </w:tcPr>
          <w:p>
            <w:pPr>
              <w:pStyle w:val="39"/>
              <w:suppressLineNumbers w:val="0"/>
              <w:spacing w:before="0" w:beforeAutospacing="0" w:afterAutospacing="0"/>
              <w:ind w:left="0" w:right="0"/>
              <w:rPr>
                <w:rFonts w:hint="default"/>
                <w:lang w:val="en-US" w:eastAsia="zh-CN"/>
              </w:rPr>
            </w:pPr>
            <w:r>
              <w:rPr>
                <w:rFonts w:hint="eastAsia"/>
                <w:lang w:val="en-US" w:eastAsia="zh-CN"/>
              </w:rPr>
              <w:t>UL</w:t>
            </w:r>
          </w:p>
          <w:p>
            <w:pPr>
              <w:pStyle w:val="39"/>
              <w:suppressLineNumbers w:val="0"/>
              <w:spacing w:before="0" w:beforeAutospacing="0" w:afterAutospacing="0"/>
              <w:ind w:left="0" w:right="0"/>
              <w:rPr>
                <w:rFonts w:hint="eastAsia"/>
                <w:lang w:val="en-US" w:eastAsia="zh-CN"/>
              </w:rPr>
            </w:pPr>
          </w:p>
        </w:tc>
        <w:tc>
          <w:tcPr>
            <w:tcW w:w="2471" w:type="dxa"/>
            <w:noWrap w:val="0"/>
            <w:vAlign w:val="top"/>
          </w:tcPr>
          <w:p>
            <w:pPr>
              <w:pStyle w:val="40"/>
              <w:numPr>
                <w:ilvl w:val="0"/>
                <w:numId w:val="0"/>
              </w:numPr>
              <w:suppressLineNumbers w:val="0"/>
              <w:spacing w:before="0" w:beforeAutospacing="0" w:afterAutospacing="0"/>
              <w:ind w:left="0" w:leftChars="0" w:right="0"/>
              <w:rPr>
                <w:rFonts w:hint="eastAsia"/>
                <w:lang w:val="en-US" w:eastAsia="zh-CN"/>
              </w:rPr>
            </w:pPr>
            <w:r>
              <w:rPr>
                <w:rFonts w:hint="eastAsia"/>
                <w:lang w:val="en-US" w:eastAsia="zh-CN"/>
              </w:rPr>
              <w:t xml:space="preserve">  DL</w:t>
            </w:r>
          </w:p>
        </w:tc>
        <w:tc>
          <w:tcPr>
            <w:tcW w:w="4555" w:type="dxa"/>
            <w:noWrap w:val="0"/>
            <w:vAlign w:val="top"/>
          </w:tcPr>
          <w:p>
            <w:pPr>
              <w:pStyle w:val="39"/>
              <w:suppressLineNumbers w:val="0"/>
              <w:spacing w:before="0" w:beforeAutospacing="0" w:afterAutospacing="0"/>
              <w:ind w:left="0" w:right="0"/>
              <w:rPr>
                <w:rFonts w:hint="default"/>
                <w:lang w:val="en-US" w:eastAsia="zh-CN"/>
              </w:rPr>
            </w:pPr>
            <w:r>
              <w:rPr>
                <w:rFonts w:hint="eastAsia"/>
                <w:lang w:val="en-US" w:eastAsia="zh-CN"/>
              </w:rPr>
              <w:t>To check ACS requirement of intermediate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7" w:type="dxa"/>
            <w:noWrap w:val="0"/>
            <w:vAlign w:val="top"/>
          </w:tcPr>
          <w:p>
            <w:pPr>
              <w:pStyle w:val="39"/>
              <w:suppressLineNumbers w:val="0"/>
              <w:spacing w:before="0" w:beforeAutospacing="0" w:afterAutospacing="0"/>
              <w:ind w:left="0" w:right="0"/>
              <w:rPr>
                <w:rFonts w:hint="default" w:eastAsia="宋体"/>
                <w:lang w:val="en-US" w:eastAsia="zh-CN"/>
              </w:rPr>
            </w:pPr>
            <w:r>
              <w:rPr>
                <w:rFonts w:hint="eastAsia" w:eastAsia="宋体"/>
                <w:lang w:val="en-US" w:eastAsia="zh-CN"/>
              </w:rPr>
              <w:t>Case 2-3</w:t>
            </w:r>
          </w:p>
        </w:tc>
        <w:tc>
          <w:tcPr>
            <w:tcW w:w="845" w:type="dxa"/>
            <w:noWrap w:val="0"/>
            <w:vAlign w:val="top"/>
          </w:tcPr>
          <w:p>
            <w:pPr>
              <w:pStyle w:val="39"/>
              <w:suppressLineNumbers w:val="0"/>
              <w:spacing w:before="0" w:beforeAutospacing="0" w:afterAutospacing="0"/>
              <w:ind w:left="0" w:right="0"/>
              <w:rPr>
                <w:rFonts w:hint="default" w:eastAsia="宋体"/>
                <w:lang w:val="en-US" w:eastAsia="zh-CN"/>
              </w:rPr>
            </w:pPr>
            <w:r>
              <w:rPr>
                <w:rFonts w:hint="eastAsia" w:eastAsia="宋体"/>
                <w:lang w:val="en-US" w:eastAsia="zh-CN"/>
              </w:rPr>
              <w:t>9</w:t>
            </w:r>
          </w:p>
        </w:tc>
        <w:tc>
          <w:tcPr>
            <w:tcW w:w="1236" w:type="dxa"/>
            <w:noWrap w:val="0"/>
            <w:vAlign w:val="top"/>
          </w:tcPr>
          <w:p>
            <w:pPr>
              <w:pStyle w:val="39"/>
              <w:suppressLineNumbers w:val="0"/>
              <w:spacing w:before="0" w:beforeAutospacing="0" w:afterAutospacing="0"/>
              <w:ind w:left="0" w:right="0"/>
              <w:rPr>
                <w:rFonts w:hint="default" w:eastAsia="宋体"/>
                <w:lang w:val="en-US" w:eastAsia="zh-CN"/>
              </w:rPr>
            </w:pPr>
            <w:r>
              <w:rPr>
                <w:rFonts w:hint="eastAsia"/>
                <w:lang w:val="en-US" w:eastAsia="zh-CN"/>
              </w:rPr>
              <w:t>A-IoT</w:t>
            </w:r>
            <w:r>
              <w:rPr>
                <w:rFonts w:hint="eastAsia"/>
              </w:rPr>
              <w:t xml:space="preserve"> </w:t>
            </w:r>
            <w:r>
              <w:rPr>
                <w:rFonts w:hint="eastAsia" w:eastAsia="宋体"/>
                <w:lang w:val="en-US" w:eastAsia="zh-CN"/>
              </w:rPr>
              <w:t>UL</w:t>
            </w:r>
          </w:p>
        </w:tc>
        <w:tc>
          <w:tcPr>
            <w:tcW w:w="1217" w:type="dxa"/>
            <w:noWrap w:val="0"/>
            <w:vAlign w:val="top"/>
          </w:tcPr>
          <w:p>
            <w:pPr>
              <w:pStyle w:val="39"/>
              <w:suppressLineNumbers w:val="0"/>
              <w:spacing w:before="0" w:beforeAutospacing="0" w:afterAutospacing="0"/>
              <w:ind w:left="0" w:right="0"/>
              <w:rPr>
                <w:rFonts w:hint="default" w:eastAsia="宋体"/>
                <w:lang w:val="en-US" w:eastAsia="zh-CN"/>
              </w:rPr>
            </w:pPr>
            <w:r>
              <w:rPr>
                <w:rFonts w:hint="eastAsia"/>
                <w:lang w:val="en-US" w:eastAsia="zh-CN"/>
              </w:rPr>
              <w:t xml:space="preserve">Legacy </w:t>
            </w:r>
            <w:r>
              <w:rPr>
                <w:rFonts w:hint="eastAsia"/>
              </w:rPr>
              <w:t xml:space="preserve">TN </w:t>
            </w:r>
            <w:r>
              <w:rPr>
                <w:rFonts w:hint="eastAsia" w:eastAsia="宋体"/>
                <w:lang w:val="en-US" w:eastAsia="zh-CN"/>
              </w:rPr>
              <w:t>UL</w:t>
            </w:r>
          </w:p>
        </w:tc>
        <w:tc>
          <w:tcPr>
            <w:tcW w:w="1553" w:type="dxa"/>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In-band/guard band</w:t>
            </w:r>
          </w:p>
        </w:tc>
        <w:tc>
          <w:tcPr>
            <w:tcW w:w="1200" w:type="dxa"/>
            <w:noWrap w:val="0"/>
            <w:vAlign w:val="top"/>
          </w:tcPr>
          <w:p>
            <w:pPr>
              <w:pStyle w:val="39"/>
              <w:suppressLineNumbers w:val="0"/>
              <w:spacing w:before="0" w:beforeAutospacing="0" w:afterAutospacing="0"/>
              <w:ind w:left="0" w:right="0"/>
              <w:rPr>
                <w:rFonts w:hint="default"/>
                <w:lang w:val="en-US" w:eastAsia="zh-CN"/>
              </w:rPr>
            </w:pPr>
            <w:r>
              <w:rPr>
                <w:rFonts w:hint="eastAsia"/>
                <w:lang w:val="en-US" w:eastAsia="zh-CN"/>
              </w:rPr>
              <w:t>UL</w:t>
            </w:r>
          </w:p>
          <w:p>
            <w:pPr>
              <w:pStyle w:val="39"/>
              <w:suppressLineNumbers w:val="0"/>
              <w:spacing w:before="0" w:beforeAutospacing="0" w:afterAutospacing="0"/>
              <w:ind w:left="0" w:right="0"/>
              <w:rPr>
                <w:rFonts w:hint="eastAsia"/>
                <w:lang w:val="en-US" w:eastAsia="zh-CN"/>
              </w:rPr>
            </w:pPr>
          </w:p>
        </w:tc>
        <w:tc>
          <w:tcPr>
            <w:tcW w:w="2471" w:type="dxa"/>
            <w:noWrap w:val="0"/>
            <w:vAlign w:val="top"/>
          </w:tcPr>
          <w:p>
            <w:pPr>
              <w:pStyle w:val="40"/>
              <w:numPr>
                <w:ilvl w:val="0"/>
                <w:numId w:val="0"/>
              </w:numPr>
              <w:suppressLineNumbers w:val="0"/>
              <w:spacing w:before="0" w:beforeAutospacing="0" w:afterAutospacing="0"/>
              <w:ind w:left="0" w:leftChars="0" w:right="0" w:firstLine="360" w:firstLineChars="200"/>
              <w:rPr>
                <w:rFonts w:hint="default"/>
                <w:lang w:val="en-US" w:eastAsia="zh-CN"/>
              </w:rPr>
            </w:pPr>
            <w:r>
              <w:rPr>
                <w:rFonts w:hint="eastAsia"/>
                <w:lang w:val="en-US" w:eastAsia="zh-CN"/>
              </w:rPr>
              <w:t>DL</w:t>
            </w:r>
          </w:p>
        </w:tc>
        <w:tc>
          <w:tcPr>
            <w:tcW w:w="4555" w:type="dxa"/>
            <w:noWrap w:val="0"/>
            <w:vAlign w:val="top"/>
          </w:tcPr>
          <w:p>
            <w:pPr>
              <w:pStyle w:val="39"/>
              <w:suppressLineNumbers w:val="0"/>
              <w:spacing w:before="0" w:beforeAutospacing="0" w:afterAutospacing="0"/>
              <w:ind w:left="0" w:right="0"/>
              <w:rPr>
                <w:rFonts w:hint="default"/>
                <w:highlight w:val="yellow"/>
                <w:lang w:val="en-US" w:eastAsia="zh-CN"/>
              </w:rPr>
            </w:pPr>
            <w:r>
              <w:rPr>
                <w:rFonts w:hint="eastAsia"/>
                <w:highlight w:val="none"/>
                <w:lang w:val="en-US" w:eastAsia="zh-CN"/>
              </w:rPr>
              <w:t xml:space="preserve">To check ACLR requirement of </w:t>
            </w:r>
            <w:r>
              <w:rPr>
                <w:rFonts w:hint="eastAsia"/>
                <w:lang w:val="en-US" w:eastAsia="zh-CN"/>
              </w:rPr>
              <w:t>f intermediate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7" w:type="dxa"/>
            <w:noWrap w:val="0"/>
            <w:vAlign w:val="top"/>
          </w:tcPr>
          <w:p>
            <w:pPr>
              <w:pStyle w:val="39"/>
              <w:suppressLineNumbers w:val="0"/>
              <w:spacing w:before="0" w:beforeAutospacing="0" w:afterAutospacing="0"/>
              <w:ind w:left="0" w:right="0"/>
              <w:rPr>
                <w:rFonts w:hint="default" w:eastAsia="宋体"/>
                <w:lang w:val="en-US" w:eastAsia="zh-CN"/>
              </w:rPr>
            </w:pPr>
            <w:r>
              <w:rPr>
                <w:rFonts w:hint="eastAsia" w:eastAsia="宋体"/>
                <w:lang w:val="en-US" w:eastAsia="zh-CN"/>
              </w:rPr>
              <w:t>Case 2-3</w:t>
            </w:r>
          </w:p>
        </w:tc>
        <w:tc>
          <w:tcPr>
            <w:tcW w:w="845" w:type="dxa"/>
            <w:noWrap w:val="0"/>
            <w:vAlign w:val="top"/>
          </w:tcPr>
          <w:p>
            <w:pPr>
              <w:pStyle w:val="39"/>
              <w:suppressLineNumbers w:val="0"/>
              <w:spacing w:before="0" w:beforeAutospacing="0" w:afterAutospacing="0"/>
              <w:ind w:left="0" w:right="0"/>
              <w:rPr>
                <w:rFonts w:hint="default" w:eastAsia="宋体"/>
                <w:lang w:val="en-US" w:eastAsia="zh-CN"/>
              </w:rPr>
            </w:pPr>
            <w:r>
              <w:rPr>
                <w:rFonts w:hint="eastAsia" w:eastAsia="宋体"/>
                <w:lang w:val="en-US" w:eastAsia="zh-CN"/>
              </w:rPr>
              <w:t>10</w:t>
            </w:r>
          </w:p>
        </w:tc>
        <w:tc>
          <w:tcPr>
            <w:tcW w:w="1236" w:type="dxa"/>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A-IoT</w:t>
            </w:r>
            <w:r>
              <w:rPr>
                <w:rFonts w:hint="eastAsia"/>
              </w:rPr>
              <w:t xml:space="preserve"> </w:t>
            </w:r>
            <w:r>
              <w:rPr>
                <w:rFonts w:hint="eastAsia" w:eastAsia="宋体"/>
                <w:lang w:val="en-US" w:eastAsia="zh-CN"/>
              </w:rPr>
              <w:t>DL</w:t>
            </w:r>
          </w:p>
        </w:tc>
        <w:tc>
          <w:tcPr>
            <w:tcW w:w="1217" w:type="dxa"/>
            <w:noWrap w:val="0"/>
            <w:vAlign w:val="top"/>
          </w:tcPr>
          <w:p>
            <w:pPr>
              <w:pStyle w:val="39"/>
              <w:suppressLineNumbers w:val="0"/>
              <w:spacing w:before="0" w:beforeAutospacing="0" w:afterAutospacing="0"/>
              <w:ind w:left="0" w:right="0"/>
              <w:rPr>
                <w:rFonts w:hint="default" w:eastAsia="宋体"/>
                <w:lang w:val="en-US" w:eastAsia="zh-CN"/>
              </w:rPr>
            </w:pPr>
            <w:r>
              <w:rPr>
                <w:rFonts w:hint="eastAsia"/>
                <w:lang w:val="en-US" w:eastAsia="zh-CN"/>
              </w:rPr>
              <w:t xml:space="preserve">Legacy </w:t>
            </w:r>
            <w:r>
              <w:rPr>
                <w:rFonts w:hint="eastAsia"/>
              </w:rPr>
              <w:t xml:space="preserve">TN </w:t>
            </w:r>
            <w:r>
              <w:rPr>
                <w:rFonts w:hint="eastAsia" w:eastAsia="宋体"/>
                <w:lang w:val="en-US" w:eastAsia="zh-CN"/>
              </w:rPr>
              <w:t>DL</w:t>
            </w:r>
          </w:p>
        </w:tc>
        <w:tc>
          <w:tcPr>
            <w:tcW w:w="1553" w:type="dxa"/>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In-band/guard band</w:t>
            </w:r>
          </w:p>
        </w:tc>
        <w:tc>
          <w:tcPr>
            <w:tcW w:w="1200" w:type="dxa"/>
            <w:noWrap w:val="0"/>
            <w:vAlign w:val="top"/>
          </w:tcPr>
          <w:p>
            <w:pPr>
              <w:pStyle w:val="39"/>
              <w:suppressLineNumbers w:val="0"/>
              <w:spacing w:before="0" w:beforeAutospacing="0" w:afterAutospacing="0"/>
              <w:ind w:left="0" w:right="0"/>
              <w:rPr>
                <w:rFonts w:hint="default"/>
                <w:lang w:val="en-US" w:eastAsia="zh-CN"/>
              </w:rPr>
            </w:pPr>
            <w:r>
              <w:rPr>
                <w:rFonts w:hint="eastAsia"/>
                <w:lang w:val="en-US" w:eastAsia="zh-CN"/>
              </w:rPr>
              <w:t>UL</w:t>
            </w:r>
          </w:p>
          <w:p>
            <w:pPr>
              <w:pStyle w:val="39"/>
              <w:suppressLineNumbers w:val="0"/>
              <w:spacing w:before="0" w:beforeAutospacing="0" w:afterAutospacing="0"/>
              <w:ind w:left="0" w:right="0"/>
              <w:rPr>
                <w:rFonts w:hint="eastAsia"/>
                <w:lang w:val="en-US" w:eastAsia="zh-CN"/>
              </w:rPr>
            </w:pPr>
          </w:p>
        </w:tc>
        <w:tc>
          <w:tcPr>
            <w:tcW w:w="2471" w:type="dxa"/>
            <w:noWrap w:val="0"/>
            <w:vAlign w:val="top"/>
          </w:tcPr>
          <w:p>
            <w:pPr>
              <w:pStyle w:val="40"/>
              <w:numPr>
                <w:ilvl w:val="0"/>
                <w:numId w:val="0"/>
              </w:numPr>
              <w:suppressLineNumbers w:val="0"/>
              <w:spacing w:before="0" w:beforeAutospacing="0" w:afterAutospacing="0"/>
              <w:ind w:left="0" w:leftChars="0" w:right="0" w:firstLine="360" w:firstLineChars="200"/>
              <w:rPr>
                <w:rFonts w:hint="eastAsia"/>
                <w:lang w:val="en-US" w:eastAsia="zh-CN"/>
              </w:rPr>
            </w:pPr>
            <w:r>
              <w:rPr>
                <w:rFonts w:hint="eastAsia"/>
                <w:lang w:val="en-US" w:eastAsia="zh-CN"/>
              </w:rPr>
              <w:t>DL</w:t>
            </w:r>
          </w:p>
        </w:tc>
        <w:tc>
          <w:tcPr>
            <w:tcW w:w="4555" w:type="dxa"/>
            <w:noWrap w:val="0"/>
            <w:vAlign w:val="top"/>
          </w:tcPr>
          <w:p>
            <w:pPr>
              <w:pStyle w:val="39"/>
              <w:suppressLineNumbers w:val="0"/>
              <w:spacing w:before="0" w:beforeAutospacing="0" w:afterAutospacing="0"/>
              <w:ind w:left="0" w:right="0"/>
              <w:rPr>
                <w:rFonts w:hint="default"/>
                <w:highlight w:val="yellow"/>
                <w:lang w:val="en-US" w:eastAsia="zh-CN"/>
              </w:rPr>
            </w:pPr>
            <w:r>
              <w:rPr>
                <w:rFonts w:hint="eastAsia"/>
                <w:lang w:val="en-US" w:eastAsia="zh-CN"/>
              </w:rPr>
              <w:t>To check ACLR requirement of A-IoT Device and the impacts of CW signal on the legacy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gridSpan w:val="8"/>
            <w:shd w:val="clear" w:color="auto" w:fill="auto"/>
            <w:noWrap w:val="0"/>
            <w:vAlign w:val="top"/>
          </w:tcPr>
          <w:p>
            <w:pPr>
              <w:pStyle w:val="40"/>
              <w:numPr>
                <w:ilvl w:val="0"/>
                <w:numId w:val="0"/>
              </w:numPr>
              <w:suppressLineNumbers w:val="0"/>
              <w:spacing w:before="0" w:beforeAutospacing="0" w:afterAutospacing="0"/>
              <w:ind w:left="0" w:leftChars="0" w:right="0"/>
              <w:rPr>
                <w:rFonts w:hint="eastAsia"/>
                <w:lang w:val="en-US" w:eastAsia="zh-CN"/>
              </w:rPr>
            </w:pPr>
            <w:r>
              <w:rPr>
                <w:rFonts w:hint="eastAsia"/>
                <w:lang w:val="en-US" w:eastAsia="zh-CN"/>
              </w:rPr>
              <w:t>NOTE 1: The threshold for CW signal reception is to be checked.</w:t>
            </w:r>
          </w:p>
          <w:p>
            <w:pPr>
              <w:pStyle w:val="40"/>
              <w:numPr>
                <w:ilvl w:val="0"/>
                <w:numId w:val="0"/>
              </w:numPr>
              <w:suppressLineNumbers w:val="0"/>
              <w:spacing w:before="0" w:beforeAutospacing="0" w:afterAutospacing="0"/>
              <w:ind w:left="0" w:leftChars="0" w:right="0"/>
              <w:rPr>
                <w:rFonts w:hint="eastAsia"/>
                <w:lang w:val="en-US" w:eastAsia="zh-CN"/>
              </w:rPr>
            </w:pPr>
            <w:r>
              <w:rPr>
                <w:rFonts w:hint="eastAsia"/>
                <w:lang w:val="en-US" w:eastAsia="zh-CN"/>
              </w:rPr>
              <w:t>NOTE 2: The threshold of OOK decoding is to be checked.</w:t>
            </w:r>
          </w:p>
          <w:p>
            <w:pPr>
              <w:pStyle w:val="40"/>
              <w:numPr>
                <w:ilvl w:val="0"/>
                <w:numId w:val="0"/>
              </w:numPr>
              <w:suppressLineNumbers w:val="0"/>
              <w:spacing w:before="0" w:beforeAutospacing="0" w:afterAutospacing="0"/>
              <w:ind w:left="0" w:leftChars="0" w:right="0"/>
              <w:rPr>
                <w:rFonts w:hint="eastAsia"/>
                <w:lang w:val="en-US" w:eastAsia="zh-CN"/>
              </w:rPr>
            </w:pPr>
            <w:r>
              <w:rPr>
                <w:rFonts w:hint="eastAsia"/>
                <w:lang w:val="en-US" w:eastAsia="zh-CN"/>
              </w:rPr>
              <w:t>NOTE 3: The standalone operation could be considered as well.</w:t>
            </w:r>
          </w:p>
        </w:tc>
      </w:tr>
    </w:tbl>
    <w:p>
      <w:pPr>
        <w:tabs>
          <w:tab w:val="left" w:pos="2127"/>
        </w:tabs>
        <w:spacing w:after="0"/>
        <w:rPr>
          <w:rFonts w:hint="eastAsia"/>
          <w:lang w:val="en-US" w:eastAsia="zh-CN"/>
        </w:rPr>
        <w:sectPr>
          <w:pgSz w:w="16838" w:h="11906" w:orient="landscape"/>
          <w:pgMar w:top="1080" w:right="1440" w:bottom="1080" w:left="1440" w:header="851" w:footer="992" w:gutter="0"/>
          <w:pgBorders>
            <w:top w:val="none" w:sz="0" w:space="0"/>
            <w:left w:val="none" w:sz="0" w:space="0"/>
            <w:bottom w:val="none" w:sz="0" w:space="0"/>
            <w:right w:val="none" w:sz="0" w:space="0"/>
          </w:pgBorders>
          <w:cols w:space="720" w:num="1"/>
          <w:docGrid w:type="lines" w:linePitch="312" w:charSpace="0"/>
        </w:sectPr>
      </w:pPr>
    </w:p>
    <w:p>
      <w:pPr>
        <w:tabs>
          <w:tab w:val="left" w:pos="2127"/>
        </w:tabs>
        <w:spacing w:after="0"/>
        <w:rPr>
          <w:rFonts w:hint="eastAsia"/>
          <w:lang w:val="en-US" w:eastAsia="zh-CN"/>
        </w:rPr>
      </w:pPr>
    </w:p>
    <w:p>
      <w:pPr>
        <w:tabs>
          <w:tab w:val="left" w:pos="2127"/>
        </w:tabs>
        <w:spacing w:after="0"/>
        <w:rPr>
          <w:rFonts w:hint="eastAsia"/>
          <w:lang w:val="en-US" w:eastAsia="zh-CN"/>
        </w:rPr>
      </w:pPr>
      <w:r>
        <w:rPr>
          <w:rFonts w:hint="eastAsia"/>
          <w:lang w:val="en-US" w:eastAsia="zh-CN"/>
        </w:rPr>
        <w:t xml:space="preserve">For the simulation assumptions for A-IoT system and NR/NB system could be found in the Table 3 and 4. </w:t>
      </w:r>
    </w:p>
    <w:p>
      <w:pPr>
        <w:tabs>
          <w:tab w:val="left" w:pos="2127"/>
        </w:tabs>
        <w:spacing w:after="0"/>
        <w:jc w:val="center"/>
        <w:rPr>
          <w:rFonts w:hint="default"/>
          <w:lang w:val="en-US" w:eastAsia="zh-CN"/>
        </w:rPr>
      </w:pPr>
      <w:r>
        <w:rPr>
          <w:rFonts w:hint="eastAsia"/>
          <w:lang w:val="en-US" w:eastAsia="zh-CN"/>
        </w:rPr>
        <w:t>Table 3. the simulation assumption for A-IoT system</w:t>
      </w:r>
    </w:p>
    <w:tbl>
      <w:tblPr>
        <w:tblStyle w:val="11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70"/>
        <w:gridCol w:w="3446"/>
        <w:gridCol w:w="34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541" w:type="pct"/>
            <w:noWrap w:val="0"/>
            <w:vAlign w:val="top"/>
          </w:tcPr>
          <w:p>
            <w:pPr>
              <w:pStyle w:val="38"/>
              <w:suppressLineNumbers w:val="0"/>
              <w:spacing w:before="0" w:beforeAutospacing="0" w:afterAutospacing="0"/>
              <w:ind w:left="0" w:right="0"/>
              <w:rPr>
                <w:rFonts w:hint="default"/>
              </w:rPr>
            </w:pPr>
          </w:p>
        </w:tc>
        <w:tc>
          <w:tcPr>
            <w:tcW w:w="1729" w:type="pct"/>
            <w:noWrap w:val="0"/>
            <w:vAlign w:val="top"/>
          </w:tcPr>
          <w:p>
            <w:pPr>
              <w:pStyle w:val="38"/>
              <w:suppressLineNumbers w:val="0"/>
              <w:spacing w:before="0" w:beforeAutospacing="0" w:afterAutospacing="0"/>
              <w:ind w:left="0" w:right="0"/>
              <w:rPr>
                <w:rFonts w:hint="default" w:eastAsia="宋体"/>
                <w:lang w:val="en-US" w:eastAsia="zh-CN"/>
              </w:rPr>
            </w:pPr>
            <w:r>
              <w:rPr>
                <w:rFonts w:hint="eastAsia" w:ascii="Arial" w:hAnsi="Arial" w:eastAsia="等线" w:cs="Times New Roman"/>
                <w:b/>
                <w:sz w:val="18"/>
                <w:szCs w:val="20"/>
                <w:lang w:val="en-US" w:eastAsia="zh-CN"/>
              </w:rPr>
              <w:t>Ambient-IoT</w:t>
            </w:r>
            <w:r>
              <w:rPr>
                <w:rFonts w:hint="eastAsia" w:ascii="Arial" w:hAnsi="Arial" w:eastAsia="等线" w:cs="Times New Roman"/>
                <w:lang w:val="en-US" w:eastAsia="zh-CN"/>
              </w:rPr>
              <w:t xml:space="preserve"> system</w:t>
            </w:r>
          </w:p>
        </w:tc>
        <w:tc>
          <w:tcPr>
            <w:tcW w:w="1729" w:type="pct"/>
            <w:noWrap w:val="0"/>
            <w:vAlign w:val="top"/>
          </w:tcPr>
          <w:p>
            <w:pPr>
              <w:pStyle w:val="38"/>
              <w:suppressLineNumbers w:val="0"/>
              <w:spacing w:before="0" w:beforeAutospacing="0" w:afterAutospacing="0"/>
              <w:ind w:left="0" w:right="0"/>
              <w:rPr>
                <w:rFonts w:hint="default" w:eastAsia="宋体"/>
                <w:lang w:val="en-US" w:eastAsia="zh-CN"/>
              </w:rPr>
            </w:pPr>
            <w:r>
              <w:rPr>
                <w:rFonts w:hint="eastAsia"/>
                <w:lang w:val="en-US"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1" w:type="pct"/>
            <w:noWrap w:val="0"/>
            <w:vAlign w:val="top"/>
          </w:tcPr>
          <w:p>
            <w:pPr>
              <w:pStyle w:val="40"/>
              <w:suppressLineNumbers w:val="0"/>
              <w:spacing w:before="0" w:beforeAutospacing="0" w:afterAutospacing="0"/>
              <w:ind w:left="0" w:right="0"/>
              <w:rPr>
                <w:rFonts w:hint="default"/>
              </w:rPr>
            </w:pPr>
            <w:r>
              <w:rPr>
                <w:rFonts w:hint="default"/>
              </w:rPr>
              <w:t>Carrier frequency in GHz</w:t>
            </w:r>
          </w:p>
        </w:tc>
        <w:tc>
          <w:tcPr>
            <w:tcW w:w="1729" w:type="pct"/>
            <w:noWrap w:val="0"/>
            <w:vAlign w:val="top"/>
          </w:tcPr>
          <w:p>
            <w:pPr>
              <w:pStyle w:val="39"/>
              <w:suppressLineNumbers w:val="0"/>
              <w:spacing w:before="0" w:beforeAutospacing="0" w:afterAutospacing="0"/>
              <w:ind w:left="0" w:right="0"/>
              <w:rPr>
                <w:rFonts w:hint="default" w:eastAsia="宋体"/>
                <w:lang w:val="en-US" w:eastAsia="zh-CN"/>
              </w:rPr>
            </w:pPr>
            <w:r>
              <w:rPr>
                <w:rFonts w:hint="default"/>
              </w:rPr>
              <w:t xml:space="preserve"> </w:t>
            </w:r>
            <w:r>
              <w:rPr>
                <w:rFonts w:hint="eastAsia"/>
                <w:lang w:val="en-US" w:eastAsia="zh-CN"/>
              </w:rPr>
              <w:t>900MHz</w:t>
            </w:r>
          </w:p>
        </w:tc>
        <w:tc>
          <w:tcPr>
            <w:tcW w:w="1729" w:type="pct"/>
            <w:noWrap w:val="0"/>
            <w:vAlign w:val="top"/>
          </w:tcPr>
          <w:p>
            <w:pPr>
              <w:pStyle w:val="39"/>
              <w:suppressLineNumbers w:val="0"/>
              <w:spacing w:before="0" w:beforeAutospacing="0" w:afterAutospacing="0"/>
              <w:ind w:left="0" w:right="0"/>
              <w:rPr>
                <w:rFonts w:hint="defaul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1" w:type="pct"/>
            <w:noWrap w:val="0"/>
            <w:vAlign w:val="top"/>
          </w:tcPr>
          <w:p>
            <w:pPr>
              <w:pStyle w:val="40"/>
              <w:suppressLineNumbers w:val="0"/>
              <w:spacing w:before="0" w:beforeAutospacing="0" w:afterAutospacing="0"/>
              <w:ind w:left="0" w:right="0"/>
              <w:rPr>
                <w:rFonts w:hint="default"/>
              </w:rPr>
            </w:pPr>
            <w:r>
              <w:rPr>
                <w:rFonts w:hint="default"/>
              </w:rPr>
              <w:t>Size of each nominal channel BW in MHz</w:t>
            </w:r>
          </w:p>
        </w:tc>
        <w:tc>
          <w:tcPr>
            <w:tcW w:w="1729" w:type="pct"/>
            <w:noWrap w:val="0"/>
            <w:vAlign w:val="top"/>
          </w:tcPr>
          <w:p>
            <w:pPr>
              <w:pStyle w:val="39"/>
              <w:suppressLineNumbers w:val="0"/>
              <w:spacing w:before="0" w:beforeAutospacing="0" w:afterAutospacing="0"/>
              <w:ind w:left="0" w:right="0"/>
              <w:rPr>
                <w:rFonts w:hint="default" w:eastAsia="宋体"/>
                <w:lang w:val="en-US" w:eastAsia="zh-CN"/>
              </w:rPr>
            </w:pPr>
            <w:r>
              <w:rPr>
                <w:rFonts w:hint="eastAsia"/>
                <w:lang w:val="en-US" w:eastAsia="zh-CN"/>
              </w:rPr>
              <w:t>200kHz as starting point</w:t>
            </w:r>
          </w:p>
        </w:tc>
        <w:tc>
          <w:tcPr>
            <w:tcW w:w="1729" w:type="pct"/>
            <w:noWrap w:val="0"/>
            <w:vAlign w:val="top"/>
          </w:tcPr>
          <w:p>
            <w:pPr>
              <w:pStyle w:val="39"/>
              <w:suppressLineNumbers w:val="0"/>
              <w:spacing w:before="0" w:beforeAutospacing="0" w:afterAutospacing="0"/>
              <w:ind w:left="0" w:right="0"/>
              <w:rPr>
                <w:rFonts w:hint="defaul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1" w:type="pct"/>
            <w:noWrap w:val="0"/>
            <w:vAlign w:val="top"/>
          </w:tcPr>
          <w:p>
            <w:pPr>
              <w:pStyle w:val="40"/>
              <w:suppressLineNumbers w:val="0"/>
              <w:spacing w:before="0" w:beforeAutospacing="0" w:afterAutospacing="0"/>
              <w:ind w:left="0" w:right="0"/>
              <w:rPr>
                <w:rFonts w:hint="default"/>
              </w:rPr>
            </w:pPr>
            <w:r>
              <w:rPr>
                <w:rFonts w:hint="default"/>
              </w:rPr>
              <w:t>Transmission bandwidth in MHz</w:t>
            </w:r>
          </w:p>
        </w:tc>
        <w:tc>
          <w:tcPr>
            <w:tcW w:w="1729" w:type="pct"/>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180kHz as starting point</w:t>
            </w:r>
          </w:p>
          <w:p>
            <w:pPr>
              <w:pStyle w:val="39"/>
              <w:suppressLineNumbers w:val="0"/>
              <w:spacing w:before="0" w:beforeAutospacing="0" w:afterAutospacing="0"/>
              <w:ind w:left="0" w:right="0"/>
              <w:rPr>
                <w:rFonts w:hint="default"/>
                <w:lang w:val="en-US" w:eastAsia="zh-CN"/>
              </w:rPr>
            </w:pPr>
          </w:p>
        </w:tc>
        <w:tc>
          <w:tcPr>
            <w:tcW w:w="1729" w:type="pct"/>
            <w:noWrap w:val="0"/>
            <w:vAlign w:val="top"/>
          </w:tcPr>
          <w:p>
            <w:pPr>
              <w:pStyle w:val="39"/>
              <w:suppressLineNumbers w:val="0"/>
              <w:spacing w:before="0" w:beforeAutospacing="0" w:afterAutospacing="0"/>
              <w:ind w:left="0" w:right="0"/>
              <w:rPr>
                <w:rFonts w:hint="default"/>
                <w:lang w:val="en-US"/>
              </w:rPr>
            </w:pPr>
            <w:r>
              <w:rPr>
                <w:rFonts w:hint="eastAsia"/>
                <w:lang w:val="en-US" w:eastAsia="zh-CN"/>
              </w:rPr>
              <w:t xml:space="preserve">DL OFDM with OOK1 or OOK4 [DFT-s-OFDM]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1" w:type="pct"/>
            <w:noWrap w:val="0"/>
            <w:vAlign w:val="top"/>
          </w:tcPr>
          <w:p>
            <w:pPr>
              <w:pStyle w:val="40"/>
              <w:suppressLineNumbers w:val="0"/>
              <w:spacing w:before="0" w:beforeAutospacing="0" w:afterAutospacing="0"/>
              <w:ind w:left="0" w:right="0"/>
              <w:rPr>
                <w:rFonts w:hint="default"/>
              </w:rPr>
            </w:pPr>
            <w:r>
              <w:rPr>
                <w:rFonts w:hint="default"/>
              </w:rPr>
              <w:t>Environment</w:t>
            </w:r>
          </w:p>
        </w:tc>
        <w:tc>
          <w:tcPr>
            <w:tcW w:w="1729" w:type="pct"/>
            <w:noWrap w:val="0"/>
            <w:vAlign w:val="top"/>
          </w:tcPr>
          <w:p>
            <w:pPr>
              <w:pStyle w:val="39"/>
              <w:suppressLineNumbers w:val="0"/>
              <w:spacing w:before="0" w:beforeAutospacing="0" w:afterAutospacing="0"/>
              <w:ind w:left="0" w:right="0"/>
              <w:rPr>
                <w:rFonts w:hint="default" w:eastAsia="宋体"/>
                <w:lang w:val="en-US" w:eastAsia="zh-CN"/>
              </w:rPr>
            </w:pPr>
            <w:r>
              <w:rPr>
                <w:rFonts w:hint="default"/>
              </w:rPr>
              <w:t>Topology 1</w:t>
            </w:r>
            <w:r>
              <w:rPr>
                <w:rFonts w:hint="eastAsia"/>
                <w:lang w:val="en-US" w:eastAsia="zh-CN"/>
              </w:rPr>
              <w:t xml:space="preserve"> or 2</w:t>
            </w:r>
          </w:p>
        </w:tc>
        <w:tc>
          <w:tcPr>
            <w:tcW w:w="1729" w:type="pct"/>
            <w:noWrap w:val="0"/>
            <w:vAlign w:val="top"/>
          </w:tcPr>
          <w:p>
            <w:pPr>
              <w:pStyle w:val="39"/>
              <w:suppressLineNumbers w:val="0"/>
              <w:spacing w:before="0" w:beforeAutospacing="0" w:afterAutospacing="0"/>
              <w:ind w:left="0" w:right="0"/>
              <w:rPr>
                <w:rFonts w:hint="default"/>
                <w:highlight w:val="cy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1" w:type="pct"/>
            <w:noWrap w:val="0"/>
            <w:vAlign w:val="top"/>
          </w:tcPr>
          <w:p>
            <w:pPr>
              <w:pStyle w:val="40"/>
              <w:suppressLineNumbers w:val="0"/>
              <w:spacing w:before="0" w:beforeAutospacing="0" w:afterAutospacing="0"/>
              <w:ind w:left="0" w:right="0"/>
              <w:rPr>
                <w:rFonts w:hint="default"/>
              </w:rPr>
            </w:pPr>
            <w:r>
              <w:rPr>
                <w:rFonts w:hint="default"/>
              </w:rPr>
              <w:t>Network layout</w:t>
            </w:r>
          </w:p>
        </w:tc>
        <w:tc>
          <w:tcPr>
            <w:tcW w:w="1729" w:type="pct"/>
            <w:noWrap w:val="0"/>
            <w:vAlign w:val="top"/>
          </w:tcPr>
          <w:p>
            <w:pPr>
              <w:pStyle w:val="39"/>
              <w:suppressLineNumbers w:val="0"/>
              <w:spacing w:before="0" w:beforeAutospacing="0" w:afterAutospacing="0"/>
              <w:ind w:left="0" w:right="0"/>
              <w:rPr>
                <w:rFonts w:hint="default"/>
              </w:rPr>
            </w:pPr>
            <w:r>
              <w:rPr>
                <w:rFonts w:hint="default"/>
              </w:rPr>
              <w:t>19-sites [57 sectors] with wrap-around</w:t>
            </w:r>
          </w:p>
        </w:tc>
        <w:tc>
          <w:tcPr>
            <w:tcW w:w="1729" w:type="pct"/>
            <w:noWrap w:val="0"/>
            <w:vAlign w:val="top"/>
          </w:tcPr>
          <w:p>
            <w:pPr>
              <w:pStyle w:val="39"/>
              <w:suppressLineNumbers w:val="0"/>
              <w:spacing w:before="0" w:beforeAutospacing="0" w:afterAutospacing="0"/>
              <w:ind w:left="0" w:right="0"/>
              <w:rPr>
                <w:rFonts w:hint="defaul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1" w:type="pct"/>
            <w:noWrap w:val="0"/>
            <w:vAlign w:val="top"/>
          </w:tcPr>
          <w:p>
            <w:pPr>
              <w:pStyle w:val="40"/>
              <w:suppressLineNumbers w:val="0"/>
              <w:spacing w:before="0" w:beforeAutospacing="0" w:afterAutospacing="0"/>
              <w:ind w:left="0" w:right="0"/>
              <w:rPr>
                <w:rFonts w:hint="default"/>
              </w:rPr>
            </w:pPr>
            <w:r>
              <w:rPr>
                <w:rFonts w:hint="default"/>
              </w:rPr>
              <w:t>Inter-site distance in meter</w:t>
            </w:r>
          </w:p>
        </w:tc>
        <w:tc>
          <w:tcPr>
            <w:tcW w:w="1729" w:type="pct"/>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 xml:space="preserve">For </w:t>
            </w:r>
            <w:r>
              <w:rPr>
                <w:rFonts w:hint="default"/>
              </w:rPr>
              <w:t>Topology 1</w:t>
            </w:r>
            <w:r>
              <w:rPr>
                <w:rFonts w:hint="eastAsia"/>
                <w:lang w:val="en-US" w:eastAsia="zh-CN"/>
              </w:rPr>
              <w:t>, ISD coverage 10-50m</w:t>
            </w:r>
          </w:p>
          <w:p>
            <w:pPr>
              <w:pStyle w:val="39"/>
              <w:suppressLineNumbers w:val="0"/>
              <w:spacing w:before="0" w:beforeAutospacing="0" w:afterAutospacing="0"/>
              <w:ind w:left="0" w:right="0"/>
              <w:rPr>
                <w:rFonts w:hint="default"/>
                <w:lang w:val="en-US" w:eastAsia="zh-CN"/>
              </w:rPr>
            </w:pPr>
            <w:r>
              <w:rPr>
                <w:rFonts w:hint="eastAsia"/>
                <w:lang w:val="en-US" w:eastAsia="zh-CN"/>
              </w:rPr>
              <w:t xml:space="preserve">For </w:t>
            </w:r>
            <w:r>
              <w:rPr>
                <w:rFonts w:hint="default"/>
              </w:rPr>
              <w:t xml:space="preserve">Topology </w:t>
            </w:r>
            <w:r>
              <w:rPr>
                <w:rFonts w:hint="eastAsia"/>
                <w:lang w:val="en-US" w:eastAsia="zh-CN"/>
              </w:rPr>
              <w:t>2, ISD as 500m</w:t>
            </w:r>
          </w:p>
          <w:p>
            <w:pPr>
              <w:pStyle w:val="39"/>
              <w:suppressLineNumbers w:val="0"/>
              <w:spacing w:before="0" w:beforeAutospacing="0" w:afterAutospacing="0"/>
              <w:ind w:left="0" w:right="0"/>
              <w:rPr>
                <w:rFonts w:hint="default"/>
                <w:lang w:val="en-US" w:eastAsia="zh-CN"/>
              </w:rPr>
            </w:pPr>
          </w:p>
        </w:tc>
        <w:tc>
          <w:tcPr>
            <w:tcW w:w="1729" w:type="pct"/>
            <w:noWrap w:val="0"/>
            <w:vAlign w:val="top"/>
          </w:tcPr>
          <w:p>
            <w:pPr>
              <w:pStyle w:val="39"/>
              <w:suppressLineNumbers w:val="0"/>
              <w:spacing w:before="0" w:beforeAutospacing="0" w:afterAutospacing="0"/>
              <w:ind w:left="0" w:right="0"/>
              <w:rPr>
                <w:rFonts w:hint="eastAsia" w:eastAsia="宋体"/>
                <w:lang w:val="en-US" w:eastAsia="zh-CN"/>
              </w:rPr>
            </w:pPr>
            <w:r>
              <w:rPr>
                <w:rFonts w:hint="eastAsia" w:eastAsia="宋体"/>
                <w:lang w:val="en-US" w:eastAsia="zh-CN"/>
              </w:rPr>
              <w:t>Refer to 38.901</w:t>
            </w:r>
          </w:p>
          <w:p>
            <w:pPr>
              <w:pStyle w:val="39"/>
              <w:suppressLineNumbers w:val="0"/>
              <w:spacing w:before="0" w:beforeAutospacing="0" w:afterAutospacing="0"/>
              <w:ind w:left="0" w:right="0"/>
              <w:rPr>
                <w:rFonts w:hint="eastAsia"/>
                <w:highlight w:val="cyan"/>
                <w:lang w:val="en-US" w:eastAsia="zh-CN"/>
              </w:rPr>
            </w:pPr>
            <w:r>
              <w:rPr>
                <w:rFonts w:hint="eastAsia"/>
              </w:rPr>
              <w:t>InF-SH: 300x150 m InF-DH: 120x60 m</w:t>
            </w:r>
          </w:p>
          <w:p>
            <w:pPr>
              <w:pStyle w:val="39"/>
              <w:suppressLineNumbers w:val="0"/>
              <w:spacing w:before="0" w:beforeAutospacing="0" w:afterAutospacing="0"/>
              <w:ind w:left="0" w:right="0"/>
              <w:rPr>
                <w:rFonts w:hint="default"/>
                <w:highlight w:val="cyan"/>
                <w:lang w:val="en-US" w:eastAsia="zh-CN"/>
              </w:rPr>
            </w:pPr>
            <w:r>
              <w:rPr>
                <w:rFonts w:hint="eastAsia"/>
                <w:highlight w:val="cyan"/>
                <w:lang w:val="en-US" w:eastAsia="zh-CN"/>
              </w:rPr>
              <w:t>Only foucs on reader and tag is placed indoor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1" w:type="pct"/>
            <w:noWrap w:val="0"/>
            <w:vAlign w:val="top"/>
          </w:tcPr>
          <w:p>
            <w:pPr>
              <w:pStyle w:val="40"/>
              <w:suppressLineNumbers w:val="0"/>
              <w:spacing w:before="0" w:beforeAutospacing="0" w:afterAutospacing="0"/>
              <w:ind w:left="0" w:right="0"/>
              <w:rPr>
                <w:rFonts w:hint="default"/>
              </w:rPr>
            </w:pPr>
            <w:r>
              <w:rPr>
                <w:rFonts w:hint="default"/>
              </w:rPr>
              <w:t>System loading and activity</w:t>
            </w:r>
          </w:p>
        </w:tc>
        <w:tc>
          <w:tcPr>
            <w:tcW w:w="1729" w:type="pct"/>
            <w:noWrap w:val="0"/>
            <w:vAlign w:val="top"/>
          </w:tcPr>
          <w:p>
            <w:pPr>
              <w:pStyle w:val="39"/>
              <w:suppressLineNumbers w:val="0"/>
              <w:spacing w:before="0" w:beforeAutospacing="0" w:afterAutospacing="0"/>
              <w:ind w:left="0" w:right="0"/>
              <w:rPr>
                <w:rFonts w:hint="default"/>
              </w:rPr>
            </w:pPr>
            <w:r>
              <w:rPr>
                <w:rFonts w:hint="default"/>
              </w:rPr>
              <w:t>Full buffer 100%</w:t>
            </w:r>
          </w:p>
        </w:tc>
        <w:tc>
          <w:tcPr>
            <w:tcW w:w="1729" w:type="pct"/>
            <w:noWrap w:val="0"/>
            <w:vAlign w:val="top"/>
          </w:tcPr>
          <w:p>
            <w:pPr>
              <w:pStyle w:val="39"/>
              <w:suppressLineNumbers w:val="0"/>
              <w:spacing w:before="0" w:beforeAutospacing="0" w:afterAutospacing="0"/>
              <w:ind w:left="0" w:right="0"/>
              <w:rPr>
                <w:rFonts w:hint="default"/>
                <w:color w:val="00000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1" w:type="pct"/>
            <w:noWrap w:val="0"/>
            <w:vAlign w:val="top"/>
          </w:tcPr>
          <w:p>
            <w:pPr>
              <w:pStyle w:val="40"/>
              <w:suppressLineNumbers w:val="0"/>
              <w:spacing w:before="0" w:beforeAutospacing="0" w:afterAutospacing="0"/>
              <w:ind w:left="0" w:right="0"/>
              <w:rPr>
                <w:rFonts w:hint="default"/>
              </w:rPr>
            </w:pPr>
            <w:r>
              <w:rPr>
                <w:rFonts w:hint="default"/>
              </w:rPr>
              <w:t>Network location</w:t>
            </w:r>
          </w:p>
        </w:tc>
        <w:tc>
          <w:tcPr>
            <w:tcW w:w="1729" w:type="pct"/>
            <w:noWrap w:val="0"/>
            <w:vAlign w:val="top"/>
          </w:tcPr>
          <w:p>
            <w:pPr>
              <w:pStyle w:val="39"/>
              <w:suppressLineNumbers w:val="0"/>
              <w:spacing w:before="0" w:beforeAutospacing="0" w:afterAutospacing="0"/>
              <w:ind w:left="0" w:right="0"/>
              <w:rPr>
                <w:rFonts w:hint="default"/>
              </w:rPr>
            </w:pPr>
            <w:r>
              <w:rPr>
                <w:rFonts w:hint="default"/>
              </w:rPr>
              <w:t>TBD</w:t>
            </w:r>
          </w:p>
        </w:tc>
        <w:tc>
          <w:tcPr>
            <w:tcW w:w="1729" w:type="pct"/>
            <w:noWrap w:val="0"/>
            <w:vAlign w:val="top"/>
          </w:tcPr>
          <w:p>
            <w:pPr>
              <w:pStyle w:val="39"/>
              <w:suppressLineNumbers w:val="0"/>
              <w:spacing w:before="0" w:beforeAutospacing="0" w:afterAutospacing="0"/>
              <w:ind w:left="0" w:right="0"/>
              <w:rPr>
                <w:rFonts w:hint="default" w:eastAsia="宋体"/>
                <w:highlight w:val="cy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1" w:type="pct"/>
            <w:noWrap w:val="0"/>
            <w:vAlign w:val="top"/>
          </w:tcPr>
          <w:p>
            <w:pPr>
              <w:pStyle w:val="40"/>
              <w:suppressLineNumbers w:val="0"/>
              <w:spacing w:before="0" w:beforeAutospacing="0" w:afterAutospacing="0"/>
              <w:ind w:left="0" w:right="0"/>
              <w:rPr>
                <w:rFonts w:hint="default"/>
              </w:rPr>
            </w:pPr>
            <w:r>
              <w:rPr>
                <w:rFonts w:hint="default"/>
              </w:rPr>
              <w:t>DL subcarrier spacing</w:t>
            </w:r>
          </w:p>
        </w:tc>
        <w:tc>
          <w:tcPr>
            <w:tcW w:w="1729" w:type="pct"/>
            <w:noWrap w:val="0"/>
            <w:vAlign w:val="top"/>
          </w:tcPr>
          <w:p>
            <w:pPr>
              <w:pStyle w:val="39"/>
              <w:suppressLineNumbers w:val="0"/>
              <w:spacing w:before="0" w:beforeAutospacing="0" w:afterAutospacing="0"/>
              <w:ind w:left="0" w:right="0"/>
              <w:rPr>
                <w:rFonts w:hint="default" w:eastAsia="宋体"/>
                <w:lang w:val="en-US" w:eastAsia="zh-CN"/>
              </w:rPr>
            </w:pPr>
            <w:r>
              <w:rPr>
                <w:rFonts w:hint="eastAsia" w:eastAsia="宋体"/>
                <w:lang w:val="en-US" w:eastAsia="zh-CN"/>
              </w:rPr>
              <w:t>15kHz</w:t>
            </w:r>
          </w:p>
        </w:tc>
        <w:tc>
          <w:tcPr>
            <w:tcW w:w="1729" w:type="pct"/>
            <w:noWrap w:val="0"/>
            <w:vAlign w:val="top"/>
          </w:tcPr>
          <w:p>
            <w:pPr>
              <w:pStyle w:val="39"/>
              <w:suppressLineNumbers w:val="0"/>
              <w:spacing w:before="0" w:beforeAutospacing="0" w:afterAutospacing="0"/>
              <w:ind w:left="0" w:right="0"/>
              <w:rPr>
                <w:rFonts w:hint="default" w:eastAsia="宋体"/>
                <w:lang w:val="en-US" w:eastAsia="zh-CN"/>
              </w:rPr>
            </w:pPr>
            <w:r>
              <w:rPr>
                <w:rFonts w:hint="eastAsia"/>
                <w:lang w:val="en-US" w:eastAsia="zh-CN"/>
              </w:rPr>
              <w:t>Data or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1" w:type="pct"/>
            <w:noWrap w:val="0"/>
            <w:vAlign w:val="top"/>
          </w:tcPr>
          <w:p>
            <w:pPr>
              <w:pStyle w:val="40"/>
              <w:suppressLineNumbers w:val="0"/>
              <w:spacing w:before="0" w:beforeAutospacing="0" w:afterAutospacing="0"/>
              <w:ind w:left="0" w:right="0"/>
              <w:rPr>
                <w:rFonts w:hint="default"/>
              </w:rPr>
            </w:pPr>
            <w:r>
              <w:rPr>
                <w:rFonts w:hint="eastAsia"/>
                <w:lang w:val="en-US" w:eastAsia="zh-CN"/>
              </w:rPr>
              <w:t>U</w:t>
            </w:r>
            <w:r>
              <w:rPr>
                <w:rFonts w:hint="default"/>
              </w:rPr>
              <w:t>L subcarrier spacing</w:t>
            </w:r>
          </w:p>
        </w:tc>
        <w:tc>
          <w:tcPr>
            <w:tcW w:w="1729" w:type="pct"/>
            <w:noWrap w:val="0"/>
            <w:vAlign w:val="top"/>
          </w:tcPr>
          <w:p>
            <w:pPr>
              <w:pStyle w:val="39"/>
              <w:suppressLineNumbers w:val="0"/>
              <w:spacing w:before="0" w:beforeAutospacing="0" w:afterAutospacing="0"/>
              <w:ind w:left="0" w:right="0"/>
              <w:rPr>
                <w:rFonts w:hint="eastAsia" w:eastAsia="宋体"/>
                <w:lang w:val="en-US" w:eastAsia="zh-CN"/>
              </w:rPr>
            </w:pPr>
            <w:r>
              <w:rPr>
                <w:rFonts w:hint="eastAsia" w:eastAsia="宋体"/>
                <w:lang w:val="en-US" w:eastAsia="zh-CN"/>
              </w:rPr>
              <w:t>TBD</w:t>
            </w:r>
          </w:p>
          <w:p>
            <w:pPr>
              <w:pStyle w:val="39"/>
              <w:suppressLineNumbers w:val="0"/>
              <w:spacing w:before="0" w:beforeAutospacing="0" w:afterAutospacing="0"/>
              <w:ind w:left="0" w:right="0"/>
              <w:rPr>
                <w:rFonts w:hint="eastAsia" w:eastAsia="宋体"/>
                <w:lang w:val="en-US" w:eastAsia="zh-CN"/>
              </w:rPr>
            </w:pPr>
          </w:p>
          <w:p>
            <w:pPr>
              <w:pStyle w:val="39"/>
              <w:suppressLineNumbers w:val="0"/>
              <w:spacing w:before="0" w:beforeAutospacing="0" w:afterAutospacing="0"/>
              <w:ind w:left="0" w:right="0"/>
              <w:rPr>
                <w:rFonts w:hint="default" w:eastAsia="宋体"/>
                <w:lang w:val="en-US" w:eastAsia="zh-CN"/>
              </w:rPr>
            </w:pPr>
          </w:p>
        </w:tc>
        <w:tc>
          <w:tcPr>
            <w:tcW w:w="1729" w:type="pct"/>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 xml:space="preserve">Single tone (CW) or multiple tone. </w:t>
            </w:r>
          </w:p>
          <w:p>
            <w:pPr>
              <w:pStyle w:val="39"/>
              <w:suppressLineNumbers w:val="0"/>
              <w:spacing w:before="0" w:beforeAutospacing="0" w:afterAutospacing="0"/>
              <w:ind w:left="0" w:right="0"/>
              <w:rPr>
                <w:rFonts w:hint="eastAsia"/>
                <w:lang w:val="en-US" w:eastAsia="zh-CN"/>
              </w:rPr>
            </w:pPr>
            <w:r>
              <w:rPr>
                <w:rFonts w:hint="eastAsia"/>
                <w:lang w:val="en-US" w:eastAsia="zh-CN"/>
              </w:rPr>
              <w:t>Without any subcarrier spacing concept.</w:t>
            </w:r>
          </w:p>
          <w:p>
            <w:pPr>
              <w:pStyle w:val="39"/>
              <w:suppressLineNumbers w:val="0"/>
              <w:spacing w:before="0" w:beforeAutospacing="0" w:afterAutospacing="0"/>
              <w:ind w:left="0" w:right="0"/>
              <w:jc w:val="both"/>
              <w:rPr>
                <w:rFonts w:hint="default"/>
                <w:lang w:val="en-US" w:eastAsia="zh-CN"/>
              </w:rPr>
            </w:pPr>
            <w:r>
              <w:rPr>
                <w:rFonts w:hint="eastAsia"/>
                <w:lang w:val="en-US" w:eastAsia="zh-CN"/>
              </w:rPr>
              <w:t>Under the discussion in RAN1.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1" w:type="pct"/>
            <w:noWrap w:val="0"/>
            <w:vAlign w:val="top"/>
          </w:tcPr>
          <w:p>
            <w:pPr>
              <w:pStyle w:val="40"/>
              <w:suppressLineNumbers w:val="0"/>
              <w:spacing w:before="0" w:beforeAutospacing="0" w:afterAutospacing="0"/>
              <w:ind w:left="0" w:right="0"/>
              <w:rPr>
                <w:rFonts w:hint="default"/>
              </w:rPr>
            </w:pPr>
            <w:r>
              <w:rPr>
                <w:rFonts w:hint="default"/>
              </w:rPr>
              <w:t>DL power control</w:t>
            </w:r>
          </w:p>
        </w:tc>
        <w:tc>
          <w:tcPr>
            <w:tcW w:w="1729" w:type="pct"/>
            <w:noWrap w:val="0"/>
            <w:vAlign w:val="top"/>
          </w:tcPr>
          <w:p>
            <w:pPr>
              <w:pStyle w:val="39"/>
              <w:suppressLineNumbers w:val="0"/>
              <w:spacing w:before="0" w:beforeAutospacing="0" w:afterAutospacing="0"/>
              <w:ind w:left="0" w:right="0"/>
              <w:rPr>
                <w:rFonts w:hint="default"/>
              </w:rPr>
            </w:pPr>
            <w:r>
              <w:rPr>
                <w:rFonts w:hint="default"/>
              </w:rPr>
              <w:t>No</w:t>
            </w:r>
          </w:p>
        </w:tc>
        <w:tc>
          <w:tcPr>
            <w:tcW w:w="1729" w:type="pct"/>
            <w:noWrap w:val="0"/>
            <w:vAlign w:val="top"/>
          </w:tcPr>
          <w:p>
            <w:pPr>
              <w:pStyle w:val="39"/>
              <w:suppressLineNumbers w:val="0"/>
              <w:spacing w:before="0" w:beforeAutospacing="0" w:afterAutospacing="0"/>
              <w:ind w:left="0" w:right="0"/>
              <w:rPr>
                <w:rFonts w:hint="defaul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1" w:type="pct"/>
            <w:noWrap w:val="0"/>
            <w:vAlign w:val="top"/>
          </w:tcPr>
          <w:p>
            <w:pPr>
              <w:pStyle w:val="40"/>
              <w:suppressLineNumbers w:val="0"/>
              <w:spacing w:before="0" w:beforeAutospacing="0" w:afterAutospacing="0"/>
              <w:ind w:left="0" w:right="0"/>
              <w:rPr>
                <w:rFonts w:hint="default"/>
              </w:rPr>
            </w:pPr>
            <w:r>
              <w:rPr>
                <w:rFonts w:hint="default"/>
              </w:rPr>
              <w:t>UL power control</w:t>
            </w:r>
          </w:p>
        </w:tc>
        <w:tc>
          <w:tcPr>
            <w:tcW w:w="1729" w:type="pct"/>
            <w:noWrap w:val="0"/>
            <w:vAlign w:val="top"/>
          </w:tcPr>
          <w:p>
            <w:pPr>
              <w:pStyle w:val="39"/>
              <w:suppressLineNumbers w:val="0"/>
              <w:spacing w:before="0" w:beforeAutospacing="0" w:afterAutospacing="0"/>
              <w:ind w:left="0" w:right="0"/>
              <w:rPr>
                <w:rFonts w:hint="default" w:eastAsia="宋体"/>
                <w:lang w:val="en-US" w:eastAsia="zh-CN"/>
              </w:rPr>
            </w:pPr>
            <w:r>
              <w:rPr>
                <w:rFonts w:hint="eastAsia"/>
                <w:lang w:val="en-US" w:eastAsia="zh-CN"/>
              </w:rPr>
              <w:t>No</w:t>
            </w:r>
          </w:p>
        </w:tc>
        <w:tc>
          <w:tcPr>
            <w:tcW w:w="1729" w:type="pct"/>
            <w:noWrap w:val="0"/>
            <w:vAlign w:val="top"/>
          </w:tcPr>
          <w:p>
            <w:pPr>
              <w:pStyle w:val="39"/>
              <w:suppressLineNumbers w:val="0"/>
              <w:spacing w:before="0" w:beforeAutospacing="0" w:afterAutospacing="0"/>
              <w:ind w:left="0" w:right="0"/>
              <w:rPr>
                <w:rFonts w:hint="eastAsia"/>
                <w:highlight w:val="cyan"/>
                <w:lang w:val="en-US" w:eastAsia="zh-CN"/>
              </w:rPr>
            </w:pPr>
            <w:r>
              <w:rPr>
                <w:rFonts w:hint="eastAsia"/>
                <w:highlight w:val="cyan"/>
                <w:lang w:val="en-US" w:eastAsia="zh-CN"/>
              </w:rPr>
              <w:t>This might be possible, not high priority</w:t>
            </w:r>
          </w:p>
          <w:p>
            <w:pPr>
              <w:pStyle w:val="39"/>
              <w:suppressLineNumbers w:val="0"/>
              <w:spacing w:before="0" w:beforeAutospacing="0" w:afterAutospacing="0"/>
              <w:ind w:left="0" w:right="0"/>
              <w:rPr>
                <w:rFonts w:hint="default"/>
                <w:highlight w:val="cyan"/>
                <w:lang w:val="en-US" w:eastAsia="zh-CN"/>
              </w:rPr>
            </w:pPr>
            <w:r>
              <w:rPr>
                <w:rFonts w:hint="eastAsia"/>
                <w:highlight w:val="cyan"/>
                <w:lang w:val="en-US" w:eastAsia="zh-CN"/>
              </w:rPr>
              <w:t>Devie 2B might have the power control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1" w:type="pct"/>
            <w:noWrap w:val="0"/>
            <w:vAlign w:val="top"/>
          </w:tcPr>
          <w:p>
            <w:pPr>
              <w:pStyle w:val="40"/>
              <w:suppressLineNumbers w:val="0"/>
              <w:spacing w:before="0" w:beforeAutospacing="0" w:afterAutospacing="0"/>
              <w:ind w:left="0" w:right="0"/>
              <w:rPr>
                <w:rFonts w:hint="default"/>
              </w:rPr>
            </w:pPr>
            <w:r>
              <w:rPr>
                <w:rFonts w:hint="default"/>
              </w:rPr>
              <w:t>Frequency reuse</w:t>
            </w:r>
          </w:p>
        </w:tc>
        <w:tc>
          <w:tcPr>
            <w:tcW w:w="1729" w:type="pct"/>
            <w:noWrap w:val="0"/>
            <w:vAlign w:val="top"/>
          </w:tcPr>
          <w:p>
            <w:pPr>
              <w:pStyle w:val="39"/>
              <w:suppressLineNumbers w:val="0"/>
              <w:spacing w:before="0" w:beforeAutospacing="0" w:afterAutospacing="0"/>
              <w:ind w:left="0" w:right="0"/>
              <w:rPr>
                <w:rFonts w:hint="default" w:eastAsia="宋体"/>
                <w:lang w:val="en-US" w:eastAsia="zh-CN"/>
              </w:rPr>
            </w:pPr>
            <w:r>
              <w:rPr>
                <w:rFonts w:hint="eastAsia"/>
                <w:lang w:val="en-US" w:eastAsia="zh-CN"/>
              </w:rPr>
              <w:t>[</w:t>
            </w:r>
            <w:r>
              <w:rPr>
                <w:rFonts w:hint="default"/>
              </w:rPr>
              <w:t>1</w:t>
            </w:r>
            <w:r>
              <w:rPr>
                <w:rFonts w:hint="eastAsia"/>
                <w:lang w:val="en-US" w:eastAsia="zh-CN"/>
              </w:rPr>
              <w:t>] as worst case</w:t>
            </w:r>
          </w:p>
        </w:tc>
        <w:tc>
          <w:tcPr>
            <w:tcW w:w="1729" w:type="pct"/>
            <w:noWrap w:val="0"/>
            <w:vAlign w:val="top"/>
          </w:tcPr>
          <w:p>
            <w:pPr>
              <w:pStyle w:val="39"/>
              <w:suppressLineNumbers w:val="0"/>
              <w:spacing w:before="0" w:beforeAutospacing="0" w:afterAutospacing="0"/>
              <w:ind w:left="0" w:right="0"/>
              <w:rPr>
                <w:rFonts w:hint="default"/>
                <w:lang w:val="en-US" w:eastAsia="zh-CN"/>
              </w:rPr>
            </w:pPr>
            <w:r>
              <w:rPr>
                <w:rFonts w:hint="eastAsia"/>
                <w:lang w:val="en-US" w:eastAsia="zh-CN"/>
              </w:rPr>
              <w:t>FFS for other frequency reuse factor</w:t>
            </w:r>
          </w:p>
          <w:p>
            <w:pPr>
              <w:pStyle w:val="39"/>
              <w:suppressLineNumbers w:val="0"/>
              <w:spacing w:before="0" w:beforeAutospacing="0" w:afterAutospacing="0"/>
              <w:ind w:left="0" w:right="0"/>
              <w:rPr>
                <w:rFonts w:hint="default"/>
                <w:lang w:val="en-US" w:eastAsia="zh-CN"/>
              </w:rPr>
            </w:pPr>
            <w:r>
              <w:rPr>
                <w:rFonts w:hint="eastAsia"/>
                <w:lang w:val="en-US" w:eastAsia="zh-CN"/>
              </w:rPr>
              <w:t>Note that RFID has considered sub-channel different from FRF=1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1" w:type="pct"/>
            <w:noWrap w:val="0"/>
            <w:vAlign w:val="top"/>
          </w:tcPr>
          <w:p>
            <w:pPr>
              <w:pStyle w:val="40"/>
              <w:suppressLineNumbers w:val="0"/>
              <w:spacing w:before="0" w:beforeAutospacing="0" w:afterAutospacing="0"/>
              <w:ind w:left="0" w:right="0"/>
              <w:rPr>
                <w:rFonts w:hint="default"/>
              </w:rPr>
            </w:pPr>
            <w:r>
              <w:rPr>
                <w:rFonts w:hint="default"/>
              </w:rPr>
              <w:t>Number of scheduled UE per cell (DL)</w:t>
            </w:r>
          </w:p>
        </w:tc>
        <w:tc>
          <w:tcPr>
            <w:tcW w:w="1729" w:type="pct"/>
            <w:noWrap w:val="0"/>
            <w:vAlign w:val="top"/>
          </w:tcPr>
          <w:p>
            <w:pPr>
              <w:pStyle w:val="39"/>
              <w:suppressLineNumbers w:val="0"/>
              <w:spacing w:before="0" w:beforeAutospacing="0" w:afterAutospacing="0"/>
              <w:ind w:left="0" w:right="0"/>
              <w:rPr>
                <w:rFonts w:hint="default"/>
              </w:rPr>
            </w:pPr>
            <w:r>
              <w:rPr>
                <w:rFonts w:hint="default"/>
              </w:rPr>
              <w:t>1</w:t>
            </w:r>
          </w:p>
        </w:tc>
        <w:tc>
          <w:tcPr>
            <w:tcW w:w="1729" w:type="pct"/>
            <w:noWrap w:val="0"/>
            <w:vAlign w:val="top"/>
          </w:tcPr>
          <w:p>
            <w:pPr>
              <w:pStyle w:val="39"/>
              <w:suppressLineNumbers w:val="0"/>
              <w:spacing w:before="0" w:beforeAutospacing="0" w:afterAutospacing="0"/>
              <w:ind w:left="0" w:right="0"/>
              <w:rPr>
                <w:rFonts w:hint="defaul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1" w:type="pct"/>
            <w:noWrap w:val="0"/>
            <w:vAlign w:val="top"/>
          </w:tcPr>
          <w:p>
            <w:pPr>
              <w:pStyle w:val="40"/>
              <w:suppressLineNumbers w:val="0"/>
              <w:spacing w:before="0" w:beforeAutospacing="0" w:afterAutospacing="0"/>
              <w:ind w:left="0" w:right="0"/>
              <w:rPr>
                <w:rFonts w:hint="default"/>
              </w:rPr>
            </w:pPr>
            <w:r>
              <w:rPr>
                <w:rFonts w:hint="default"/>
              </w:rPr>
              <w:t>Number of scheduled UE per cell (UL)</w:t>
            </w:r>
          </w:p>
        </w:tc>
        <w:tc>
          <w:tcPr>
            <w:tcW w:w="1729" w:type="pct"/>
            <w:noWrap w:val="0"/>
            <w:vAlign w:val="top"/>
          </w:tcPr>
          <w:p>
            <w:pPr>
              <w:pStyle w:val="39"/>
              <w:suppressLineNumbers w:val="0"/>
              <w:spacing w:before="0" w:beforeAutospacing="0" w:afterAutospacing="0"/>
              <w:ind w:left="0" w:right="0"/>
              <w:rPr>
                <w:rFonts w:hint="default" w:eastAsia="宋体"/>
                <w:lang w:val="en-US" w:eastAsia="zh-CN"/>
              </w:rPr>
            </w:pPr>
            <w:r>
              <w:rPr>
                <w:rFonts w:hint="eastAsia"/>
                <w:lang w:val="en-US" w:eastAsia="zh-CN"/>
              </w:rPr>
              <w:t>TBD</w:t>
            </w:r>
          </w:p>
        </w:tc>
        <w:tc>
          <w:tcPr>
            <w:tcW w:w="1729" w:type="pct"/>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Depend on the multi-access mechanism</w:t>
            </w:r>
          </w:p>
          <w:p>
            <w:pPr>
              <w:pStyle w:val="39"/>
              <w:suppressLineNumbers w:val="0"/>
              <w:spacing w:before="0" w:beforeAutospacing="0" w:afterAutospacing="0"/>
              <w:ind w:left="0" w:right="0"/>
              <w:rPr>
                <w:rFonts w:hint="default"/>
                <w:lang w:val="en-US" w:eastAsia="zh-CN"/>
              </w:rPr>
            </w:pPr>
            <w:r>
              <w:rPr>
                <w:rFonts w:hint="eastAsia"/>
                <w:lang w:val="en-US" w:eastAsia="zh-CN"/>
              </w:rPr>
              <w:t xml:space="preserve">This is also under the discussion in RAN1 and also dependent on the backscattering waveform/mutiplexing factor in the uplink direction.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1" w:type="pct"/>
            <w:noWrap w:val="0"/>
            <w:vAlign w:val="top"/>
          </w:tcPr>
          <w:p>
            <w:pPr>
              <w:pStyle w:val="40"/>
              <w:suppressLineNumbers w:val="0"/>
              <w:spacing w:before="0" w:beforeAutospacing="0" w:afterAutospacing="0"/>
              <w:ind w:left="0" w:right="0"/>
              <w:rPr>
                <w:rFonts w:hint="default"/>
              </w:rPr>
            </w:pPr>
            <w:r>
              <w:rPr>
                <w:rFonts w:hint="eastAsia"/>
                <w:lang w:val="en-US" w:eastAsia="zh-CN"/>
              </w:rPr>
              <w:t>Device</w:t>
            </w:r>
            <w:r>
              <w:rPr>
                <w:rFonts w:hint="default"/>
              </w:rPr>
              <w:t xml:space="preserve"> antenna height in meter</w:t>
            </w:r>
          </w:p>
        </w:tc>
        <w:tc>
          <w:tcPr>
            <w:tcW w:w="1729" w:type="pct"/>
            <w:noWrap w:val="0"/>
            <w:vAlign w:val="top"/>
          </w:tcPr>
          <w:p>
            <w:pPr>
              <w:pStyle w:val="39"/>
              <w:suppressLineNumbers w:val="0"/>
              <w:spacing w:before="0" w:beforeAutospacing="0" w:afterAutospacing="0"/>
              <w:ind w:left="0" w:right="0"/>
              <w:rPr>
                <w:rFonts w:hint="default"/>
              </w:rPr>
            </w:pPr>
            <w:r>
              <w:rPr>
                <w:rFonts w:hint="default"/>
              </w:rPr>
              <w:t>1.5</w:t>
            </w:r>
          </w:p>
        </w:tc>
        <w:tc>
          <w:tcPr>
            <w:tcW w:w="1729" w:type="pct"/>
            <w:noWrap w:val="0"/>
            <w:vAlign w:val="top"/>
          </w:tcPr>
          <w:p>
            <w:pPr>
              <w:pStyle w:val="39"/>
              <w:suppressLineNumbers w:val="0"/>
              <w:spacing w:before="0" w:beforeAutospacing="0" w:afterAutospacing="0"/>
              <w:ind w:left="0" w:right="0"/>
              <w:rPr>
                <w:rFonts w:hint="default"/>
                <w:highlight w:val="cy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1" w:type="pct"/>
            <w:noWrap w:val="0"/>
            <w:vAlign w:val="top"/>
          </w:tcPr>
          <w:p>
            <w:pPr>
              <w:pStyle w:val="40"/>
              <w:suppressLineNumbers w:val="0"/>
              <w:spacing w:before="0" w:beforeAutospacing="0" w:afterAutospacing="0"/>
              <w:ind w:left="0" w:right="0"/>
              <w:rPr>
                <w:rFonts w:hint="default"/>
              </w:rPr>
            </w:pPr>
            <w:r>
              <w:rPr>
                <w:rFonts w:hint="eastAsia"/>
                <w:lang w:val="en-US" w:eastAsia="zh-CN"/>
              </w:rPr>
              <w:t>Device</w:t>
            </w:r>
            <w:r>
              <w:rPr>
                <w:rFonts w:hint="default"/>
              </w:rPr>
              <w:t xml:space="preserve"> TX power in dBm</w:t>
            </w:r>
          </w:p>
        </w:tc>
        <w:tc>
          <w:tcPr>
            <w:tcW w:w="1729" w:type="pct"/>
            <w:noWrap w:val="0"/>
            <w:vAlign w:val="top"/>
          </w:tcPr>
          <w:p>
            <w:pPr>
              <w:pStyle w:val="39"/>
              <w:suppressLineNumbers w:val="0"/>
              <w:spacing w:before="0" w:beforeAutospacing="0" w:afterAutospacing="0"/>
              <w:ind w:left="0" w:right="0"/>
              <w:rPr>
                <w:rFonts w:hint="default" w:eastAsia="宋体"/>
                <w:lang w:val="en-US" w:eastAsia="zh-CN"/>
              </w:rPr>
            </w:pPr>
            <w:r>
              <w:rPr>
                <w:rFonts w:hint="eastAsia"/>
                <w:lang w:val="en-US" w:eastAsia="zh-CN"/>
              </w:rPr>
              <w:t>TBD as fixed value proposed by RAN1</w:t>
            </w:r>
          </w:p>
        </w:tc>
        <w:tc>
          <w:tcPr>
            <w:tcW w:w="1729" w:type="pct"/>
            <w:noWrap w:val="0"/>
            <w:vAlign w:val="top"/>
          </w:tcPr>
          <w:p>
            <w:pPr>
              <w:pStyle w:val="39"/>
              <w:suppressLineNumbers w:val="0"/>
              <w:spacing w:before="0" w:beforeAutospacing="0" w:afterAutospacing="0"/>
              <w:ind w:left="0" w:right="0"/>
              <w:rPr>
                <w:rFonts w:hint="default"/>
                <w:lang w:val="en-US" w:eastAsia="zh-CN"/>
              </w:rPr>
            </w:pPr>
            <w:r>
              <w:rPr>
                <w:rFonts w:hint="eastAsia"/>
                <w:lang w:val="en-US" w:eastAsia="zh-CN"/>
              </w:rPr>
              <w:t>This also depends on the power efficiency of backscattering.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1" w:type="pct"/>
            <w:noWrap w:val="0"/>
            <w:vAlign w:val="top"/>
          </w:tcPr>
          <w:p>
            <w:pPr>
              <w:pStyle w:val="40"/>
              <w:suppressLineNumbers w:val="0"/>
              <w:spacing w:before="0" w:beforeAutospacing="0" w:afterAutospacing="0"/>
              <w:ind w:left="0" w:right="0"/>
              <w:rPr>
                <w:rFonts w:hint="default"/>
              </w:rPr>
            </w:pPr>
            <w:r>
              <w:rPr>
                <w:rFonts w:hint="eastAsia"/>
                <w:lang w:val="en-US" w:eastAsia="zh-CN"/>
              </w:rPr>
              <w:t>Device</w:t>
            </w:r>
            <w:r>
              <w:rPr>
                <w:rFonts w:hint="default"/>
              </w:rPr>
              <w:t xml:space="preserve"> antenna gain in dBi</w:t>
            </w:r>
          </w:p>
        </w:tc>
        <w:tc>
          <w:tcPr>
            <w:tcW w:w="1729" w:type="pct"/>
            <w:noWrap w:val="0"/>
            <w:vAlign w:val="top"/>
          </w:tcPr>
          <w:p>
            <w:pPr>
              <w:pStyle w:val="39"/>
              <w:suppressLineNumbers w:val="0"/>
              <w:spacing w:before="0" w:beforeAutospacing="0" w:afterAutospacing="0"/>
              <w:ind w:left="0" w:right="0"/>
              <w:rPr>
                <w:rFonts w:hint="default" w:eastAsia="宋体"/>
                <w:lang w:val="en-US" w:eastAsia="zh-CN"/>
              </w:rPr>
            </w:pPr>
            <w:r>
              <w:rPr>
                <w:rFonts w:hint="default"/>
              </w:rPr>
              <w:t>0</w:t>
            </w:r>
          </w:p>
        </w:tc>
        <w:tc>
          <w:tcPr>
            <w:tcW w:w="1729" w:type="pct"/>
            <w:noWrap w:val="0"/>
            <w:vAlign w:val="top"/>
          </w:tcPr>
          <w:p>
            <w:pPr>
              <w:pStyle w:val="39"/>
              <w:suppressLineNumbers w:val="0"/>
              <w:spacing w:before="0" w:beforeAutospacing="0" w:afterAutospacing="0"/>
              <w:ind w:left="0" w:right="0"/>
              <w:rPr>
                <w:rFonts w:hint="defaul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1" w:type="pct"/>
            <w:noWrap w:val="0"/>
            <w:vAlign w:val="top"/>
          </w:tcPr>
          <w:p>
            <w:pPr>
              <w:pStyle w:val="40"/>
              <w:suppressLineNumbers w:val="0"/>
              <w:spacing w:before="0" w:beforeAutospacing="0" w:afterAutospacing="0"/>
              <w:ind w:left="0" w:right="0"/>
              <w:rPr>
                <w:rFonts w:hint="default"/>
              </w:rPr>
            </w:pPr>
            <w:r>
              <w:rPr>
                <w:rFonts w:hint="default"/>
              </w:rPr>
              <w:t>Building penetration loss</w:t>
            </w:r>
          </w:p>
        </w:tc>
        <w:tc>
          <w:tcPr>
            <w:tcW w:w="1729" w:type="pct"/>
            <w:noWrap w:val="0"/>
            <w:vAlign w:val="top"/>
          </w:tcPr>
          <w:p>
            <w:pPr>
              <w:pStyle w:val="39"/>
              <w:suppressLineNumbers w:val="0"/>
              <w:spacing w:before="0" w:beforeAutospacing="0" w:afterAutospacing="0"/>
              <w:ind w:left="0" w:right="0"/>
              <w:rPr>
                <w:rFonts w:hint="default"/>
              </w:rPr>
            </w:pPr>
            <w:r>
              <w:rPr>
                <w:rFonts w:hint="default"/>
              </w:rPr>
              <w:t xml:space="preserve">TR 45.820[9] Annex D.1 </w:t>
            </w:r>
          </w:p>
        </w:tc>
        <w:tc>
          <w:tcPr>
            <w:tcW w:w="1729" w:type="pct"/>
            <w:noWrap w:val="0"/>
            <w:vAlign w:val="top"/>
          </w:tcPr>
          <w:p>
            <w:pPr>
              <w:pStyle w:val="39"/>
              <w:suppressLineNumbers w:val="0"/>
              <w:spacing w:before="0" w:beforeAutospacing="0" w:afterAutospacing="0"/>
              <w:ind w:left="0" w:right="0"/>
              <w:rPr>
                <w:rFonts w:hint="default"/>
                <w:highlight w:val="cy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1" w:type="pct"/>
            <w:noWrap w:val="0"/>
            <w:vAlign w:val="top"/>
          </w:tcPr>
          <w:p>
            <w:pPr>
              <w:pStyle w:val="40"/>
              <w:suppressLineNumbers w:val="0"/>
              <w:spacing w:before="0" w:beforeAutospacing="0" w:afterAutospacing="0"/>
              <w:ind w:left="0" w:right="0"/>
              <w:rPr>
                <w:rFonts w:hint="default"/>
              </w:rPr>
            </w:pPr>
            <w:r>
              <w:rPr>
                <w:rFonts w:hint="default"/>
              </w:rPr>
              <w:t>Cell selection margin in dB</w:t>
            </w:r>
          </w:p>
        </w:tc>
        <w:tc>
          <w:tcPr>
            <w:tcW w:w="1729" w:type="pct"/>
            <w:noWrap w:val="0"/>
            <w:vAlign w:val="top"/>
          </w:tcPr>
          <w:p>
            <w:pPr>
              <w:pStyle w:val="39"/>
              <w:suppressLineNumbers w:val="0"/>
              <w:spacing w:before="0" w:beforeAutospacing="0" w:afterAutospacing="0"/>
              <w:ind w:left="0" w:right="0"/>
              <w:rPr>
                <w:rFonts w:hint="default" w:eastAsia="宋体"/>
                <w:lang w:val="en-US" w:eastAsia="zh-CN"/>
              </w:rPr>
            </w:pPr>
            <w:r>
              <w:rPr>
                <w:rFonts w:hint="eastAsia"/>
                <w:lang w:val="en-US" w:eastAsia="zh-CN"/>
              </w:rPr>
              <w:t>NA</w:t>
            </w:r>
          </w:p>
        </w:tc>
        <w:tc>
          <w:tcPr>
            <w:tcW w:w="1729" w:type="pct"/>
            <w:noWrap w:val="0"/>
            <w:vAlign w:val="top"/>
          </w:tcPr>
          <w:p>
            <w:pPr>
              <w:pStyle w:val="39"/>
              <w:suppressLineNumbers w:val="0"/>
              <w:spacing w:before="0" w:beforeAutospacing="0" w:afterAutospacing="0"/>
              <w:ind w:left="0" w:right="0"/>
              <w:rPr>
                <w:rFonts w:hint="defaul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1" w:type="pct"/>
            <w:noWrap w:val="0"/>
            <w:vAlign w:val="top"/>
          </w:tcPr>
          <w:p>
            <w:pPr>
              <w:pStyle w:val="40"/>
              <w:suppressLineNumbers w:val="0"/>
              <w:spacing w:before="0" w:beforeAutospacing="0" w:afterAutospacing="0"/>
              <w:ind w:left="0" w:right="0"/>
              <w:rPr>
                <w:rFonts w:hint="default"/>
              </w:rPr>
            </w:pPr>
            <w:r>
              <w:rPr>
                <w:rFonts w:hint="default"/>
              </w:rPr>
              <w:t>BS-MS min distance in meters</w:t>
            </w:r>
          </w:p>
        </w:tc>
        <w:tc>
          <w:tcPr>
            <w:tcW w:w="1729" w:type="pct"/>
            <w:noWrap w:val="0"/>
            <w:vAlign w:val="top"/>
          </w:tcPr>
          <w:p>
            <w:pPr>
              <w:pStyle w:val="39"/>
              <w:suppressLineNumbers w:val="0"/>
              <w:spacing w:before="0" w:beforeAutospacing="0" w:afterAutospacing="0"/>
              <w:ind w:left="0" w:right="0"/>
              <w:rPr>
                <w:rFonts w:hint="default"/>
              </w:rPr>
            </w:pPr>
            <w:r>
              <w:rPr>
                <w:rFonts w:hint="default"/>
              </w:rPr>
              <w:t>35</w:t>
            </w:r>
          </w:p>
        </w:tc>
        <w:tc>
          <w:tcPr>
            <w:tcW w:w="1729" w:type="pct"/>
            <w:noWrap w:val="0"/>
            <w:vAlign w:val="top"/>
          </w:tcPr>
          <w:p>
            <w:pPr>
              <w:pStyle w:val="39"/>
              <w:suppressLineNumbers w:val="0"/>
              <w:spacing w:before="0" w:beforeAutospacing="0" w:afterAutospacing="0"/>
              <w:ind w:left="0" w:right="0"/>
              <w:rPr>
                <w:rFonts w:hint="default"/>
                <w:highlight w:val="cy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1" w:type="pct"/>
            <w:noWrap w:val="0"/>
            <w:vAlign w:val="top"/>
          </w:tcPr>
          <w:p>
            <w:pPr>
              <w:pStyle w:val="40"/>
              <w:suppressLineNumbers w:val="0"/>
              <w:spacing w:before="0" w:beforeAutospacing="0" w:afterAutospacing="0"/>
              <w:ind w:left="0" w:right="0"/>
              <w:rPr>
                <w:rFonts w:hint="default"/>
                <w:highlight w:val="green"/>
              </w:rPr>
            </w:pPr>
            <w:r>
              <w:rPr>
                <w:rFonts w:hint="default"/>
                <w:highlight w:val="green"/>
              </w:rPr>
              <w:t>BS noise figure in dB</w:t>
            </w:r>
          </w:p>
        </w:tc>
        <w:tc>
          <w:tcPr>
            <w:tcW w:w="1729" w:type="pct"/>
            <w:noWrap w:val="0"/>
            <w:vAlign w:val="top"/>
          </w:tcPr>
          <w:p>
            <w:pPr>
              <w:pStyle w:val="39"/>
              <w:suppressLineNumbers w:val="0"/>
              <w:spacing w:before="0" w:beforeAutospacing="0" w:afterAutospacing="0"/>
              <w:ind w:left="0" w:right="0"/>
              <w:rPr>
                <w:rFonts w:hint="default" w:eastAsia="宋体"/>
                <w:highlight w:val="green"/>
                <w:lang w:val="en-US" w:eastAsia="zh-CN"/>
              </w:rPr>
            </w:pPr>
            <w:r>
              <w:rPr>
                <w:rFonts w:hint="eastAsia"/>
                <w:highlight w:val="green"/>
                <w:lang w:val="en-US" w:eastAsia="zh-CN"/>
              </w:rPr>
              <w:t>TBD</w:t>
            </w:r>
          </w:p>
        </w:tc>
        <w:tc>
          <w:tcPr>
            <w:tcW w:w="1729" w:type="pct"/>
            <w:noWrap w:val="0"/>
            <w:vAlign w:val="top"/>
          </w:tcPr>
          <w:p>
            <w:pPr>
              <w:pStyle w:val="39"/>
              <w:suppressLineNumbers w:val="0"/>
              <w:spacing w:before="0" w:beforeAutospacing="0" w:afterAutospacing="0"/>
              <w:ind w:left="0" w:right="0"/>
              <w:rPr>
                <w:rFonts w:hint="default" w:eastAsia="宋体"/>
                <w:highlight w:val="green"/>
                <w:lang w:val="en-US" w:eastAsia="zh-CN"/>
              </w:rPr>
            </w:pPr>
            <w:r>
              <w:rPr>
                <w:rFonts w:hint="eastAsia"/>
                <w:highlight w:val="green"/>
                <w:lang w:val="en-US" w:eastAsia="zh-CN"/>
              </w:rPr>
              <w:t>10/13dB as starting point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1" w:type="pct"/>
            <w:noWrap w:val="0"/>
            <w:vAlign w:val="top"/>
          </w:tcPr>
          <w:p>
            <w:pPr>
              <w:pStyle w:val="40"/>
              <w:suppressLineNumbers w:val="0"/>
              <w:spacing w:before="0" w:beforeAutospacing="0" w:afterAutospacing="0"/>
              <w:ind w:left="0" w:right="0"/>
              <w:rPr>
                <w:rFonts w:hint="default"/>
                <w:lang w:val="fr-FR"/>
              </w:rPr>
            </w:pPr>
            <w:r>
              <w:rPr>
                <w:rFonts w:hint="eastAsia"/>
                <w:lang w:val="en-US" w:eastAsia="zh-CN"/>
              </w:rPr>
              <w:t>A-IoT Device</w:t>
            </w:r>
            <w:r>
              <w:rPr>
                <w:rFonts w:hint="default"/>
                <w:lang w:val="fr-FR"/>
              </w:rPr>
              <w:t xml:space="preserve"> noise figure in dB</w:t>
            </w:r>
          </w:p>
        </w:tc>
        <w:tc>
          <w:tcPr>
            <w:tcW w:w="1729" w:type="pct"/>
            <w:noWrap w:val="0"/>
            <w:vAlign w:val="top"/>
          </w:tcPr>
          <w:p>
            <w:pPr>
              <w:pStyle w:val="39"/>
              <w:suppressLineNumbers w:val="0"/>
              <w:spacing w:before="0" w:beforeAutospacing="0" w:afterAutospacing="0"/>
              <w:ind w:left="0" w:right="0"/>
              <w:rPr>
                <w:rFonts w:hint="default" w:eastAsia="宋体"/>
                <w:lang w:val="en-US" w:eastAsia="zh-CN"/>
              </w:rPr>
            </w:pPr>
            <w:r>
              <w:rPr>
                <w:rFonts w:hint="eastAsia"/>
                <w:lang w:val="en-US" w:eastAsia="zh-CN"/>
              </w:rPr>
              <w:t>TBD</w:t>
            </w:r>
          </w:p>
        </w:tc>
        <w:tc>
          <w:tcPr>
            <w:tcW w:w="1729" w:type="pct"/>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Refer to LP-WUS as starting point for [Device 2B]</w:t>
            </w:r>
          </w:p>
          <w:p>
            <w:pPr>
              <w:pStyle w:val="39"/>
              <w:suppressLineNumbers w:val="0"/>
              <w:spacing w:before="0" w:beforeAutospacing="0" w:afterAutospacing="0"/>
              <w:ind w:left="0" w:right="0"/>
              <w:rPr>
                <w:rFonts w:hint="default"/>
                <w:lang w:val="en-US" w:eastAsia="zh-CN"/>
              </w:rPr>
            </w:pPr>
            <w:r>
              <w:rPr>
                <w:rFonts w:hint="eastAsia"/>
                <w:lang w:val="en-US" w:eastAsia="zh-CN"/>
              </w:rPr>
              <w:t>FFS for Device 1 and 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41" w:type="pct"/>
            <w:noWrap w:val="0"/>
            <w:vAlign w:val="top"/>
          </w:tcPr>
          <w:p>
            <w:pPr>
              <w:pStyle w:val="40"/>
              <w:suppressLineNumbers w:val="0"/>
              <w:spacing w:before="0" w:beforeAutospacing="0" w:afterAutospacing="0"/>
              <w:ind w:left="0" w:right="0"/>
              <w:rPr>
                <w:rFonts w:hint="default"/>
              </w:rPr>
            </w:pPr>
            <w:r>
              <w:rPr>
                <w:rFonts w:hint="default"/>
              </w:rPr>
              <w:t>BS-UE path-loss model</w:t>
            </w:r>
          </w:p>
        </w:tc>
        <w:tc>
          <w:tcPr>
            <w:tcW w:w="1729" w:type="pct"/>
            <w:noWrap w:val="0"/>
            <w:vAlign w:val="top"/>
          </w:tcPr>
          <w:p>
            <w:pPr>
              <w:pStyle w:val="39"/>
              <w:suppressLineNumbers w:val="0"/>
              <w:spacing w:before="0" w:beforeAutospacing="0" w:afterAutospacing="0"/>
              <w:ind w:left="0" w:right="0"/>
              <w:rPr>
                <w:rFonts w:hint="default" w:eastAsia="宋体"/>
                <w:lang w:val="en-US" w:eastAsia="zh-CN"/>
              </w:rPr>
            </w:pPr>
            <w:r>
              <w:rPr>
                <w:rFonts w:hint="default"/>
              </w:rPr>
              <w:t xml:space="preserve">TR </w:t>
            </w:r>
            <w:r>
              <w:rPr>
                <w:rFonts w:hint="eastAsia"/>
                <w:lang w:val="en-US" w:eastAsia="zh-CN"/>
              </w:rPr>
              <w:t>38.901</w:t>
            </w:r>
          </w:p>
        </w:tc>
        <w:tc>
          <w:tcPr>
            <w:tcW w:w="1729" w:type="pct"/>
            <w:noWrap w:val="0"/>
            <w:vAlign w:val="top"/>
          </w:tcPr>
          <w:p>
            <w:pPr>
              <w:pStyle w:val="39"/>
              <w:suppressLineNumbers w:val="0"/>
              <w:spacing w:before="0" w:beforeAutospacing="0" w:afterAutospacing="0"/>
              <w:ind w:left="0" w:right="0"/>
              <w:rPr>
                <w:rFonts w:hint="defaul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1" w:type="pct"/>
            <w:noWrap w:val="0"/>
            <w:vAlign w:val="top"/>
          </w:tcPr>
          <w:p>
            <w:pPr>
              <w:pStyle w:val="40"/>
              <w:suppressLineNumbers w:val="0"/>
              <w:spacing w:before="0" w:beforeAutospacing="0" w:afterAutospacing="0"/>
              <w:ind w:left="0" w:right="0"/>
              <w:rPr>
                <w:rFonts w:hint="default"/>
              </w:rPr>
            </w:pPr>
            <w:r>
              <w:rPr>
                <w:rFonts w:hint="default"/>
              </w:rPr>
              <w:t>Standard deviation of BS-UE log-normal shadow fading in dB</w:t>
            </w:r>
          </w:p>
        </w:tc>
        <w:tc>
          <w:tcPr>
            <w:tcW w:w="1729" w:type="pct"/>
            <w:noWrap w:val="0"/>
            <w:vAlign w:val="top"/>
          </w:tcPr>
          <w:p>
            <w:pPr>
              <w:pStyle w:val="39"/>
              <w:suppressLineNumbers w:val="0"/>
              <w:spacing w:before="0" w:beforeAutospacing="0" w:afterAutospacing="0"/>
              <w:ind w:left="0" w:right="0"/>
              <w:rPr>
                <w:rFonts w:hint="default"/>
              </w:rPr>
            </w:pPr>
            <w:r>
              <w:rPr>
                <w:rFonts w:hint="default"/>
              </w:rPr>
              <w:t>10</w:t>
            </w:r>
          </w:p>
        </w:tc>
        <w:tc>
          <w:tcPr>
            <w:tcW w:w="1729" w:type="pct"/>
            <w:noWrap w:val="0"/>
            <w:vAlign w:val="top"/>
          </w:tcPr>
          <w:p>
            <w:pPr>
              <w:pStyle w:val="39"/>
              <w:suppressLineNumbers w:val="0"/>
              <w:spacing w:before="0" w:beforeAutospacing="0" w:afterAutospacing="0"/>
              <w:ind w:left="0" w:right="0"/>
              <w:rPr>
                <w:rFonts w:hint="default"/>
                <w:highlight w:val="cy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1" w:type="pct"/>
            <w:noWrap w:val="0"/>
            <w:vAlign w:val="top"/>
          </w:tcPr>
          <w:p>
            <w:pPr>
              <w:pStyle w:val="40"/>
              <w:suppressLineNumbers w:val="0"/>
              <w:spacing w:before="0" w:beforeAutospacing="0" w:afterAutospacing="0"/>
              <w:ind w:left="0" w:right="0"/>
              <w:rPr>
                <w:rFonts w:hint="default"/>
              </w:rPr>
            </w:pPr>
            <w:r>
              <w:rPr>
                <w:rFonts w:hint="default"/>
              </w:rPr>
              <w:t>Shadowing correlation</w:t>
            </w:r>
          </w:p>
        </w:tc>
        <w:tc>
          <w:tcPr>
            <w:tcW w:w="1729" w:type="pct"/>
            <w:noWrap w:val="0"/>
            <w:vAlign w:val="top"/>
          </w:tcPr>
          <w:p>
            <w:pPr>
              <w:pStyle w:val="39"/>
              <w:suppressLineNumbers w:val="0"/>
              <w:spacing w:before="0" w:beforeAutospacing="0" w:afterAutospacing="0"/>
              <w:ind w:left="0" w:right="0"/>
              <w:rPr>
                <w:rFonts w:hint="default"/>
              </w:rPr>
            </w:pPr>
            <w:r>
              <w:rPr>
                <w:rFonts w:hint="default"/>
              </w:rPr>
              <w:t xml:space="preserve">Inter-cell 0.5 </w:t>
            </w:r>
          </w:p>
          <w:p>
            <w:pPr>
              <w:pStyle w:val="39"/>
              <w:suppressLineNumbers w:val="0"/>
              <w:spacing w:before="0" w:beforeAutospacing="0" w:afterAutospacing="0"/>
              <w:ind w:left="0" w:right="0"/>
              <w:rPr>
                <w:rFonts w:hint="default"/>
              </w:rPr>
            </w:pPr>
            <w:r>
              <w:rPr>
                <w:rFonts w:hint="default"/>
              </w:rPr>
              <w:t>Intra-cell 1</w:t>
            </w:r>
          </w:p>
        </w:tc>
        <w:tc>
          <w:tcPr>
            <w:tcW w:w="1729" w:type="pct"/>
            <w:noWrap w:val="0"/>
            <w:vAlign w:val="top"/>
          </w:tcPr>
          <w:p>
            <w:pPr>
              <w:pStyle w:val="39"/>
              <w:suppressLineNumbers w:val="0"/>
              <w:spacing w:before="0" w:beforeAutospacing="0" w:afterAutospacing="0"/>
              <w:ind w:left="0" w:right="0"/>
              <w:rPr>
                <w:rFonts w:hint="defaul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41" w:type="pct"/>
            <w:noWrap w:val="0"/>
            <w:vAlign w:val="top"/>
          </w:tcPr>
          <w:p>
            <w:pPr>
              <w:pStyle w:val="40"/>
              <w:suppressLineNumbers w:val="0"/>
              <w:spacing w:before="0" w:beforeAutospacing="0" w:afterAutospacing="0"/>
              <w:ind w:left="0" w:right="0"/>
              <w:rPr>
                <w:rFonts w:hint="default"/>
              </w:rPr>
            </w:pPr>
            <w:r>
              <w:rPr>
                <w:rFonts w:hint="default"/>
              </w:rPr>
              <w:t>Link-level performance model</w:t>
            </w:r>
          </w:p>
        </w:tc>
        <w:tc>
          <w:tcPr>
            <w:tcW w:w="1729" w:type="pct"/>
            <w:noWrap w:val="0"/>
            <w:vAlign w:val="top"/>
          </w:tcPr>
          <w:p>
            <w:pPr>
              <w:pStyle w:val="39"/>
              <w:suppressLineNumbers w:val="0"/>
              <w:spacing w:before="0" w:beforeAutospacing="0" w:afterAutospacing="0"/>
              <w:ind w:left="0" w:right="0"/>
              <w:rPr>
                <w:rFonts w:hint="default" w:eastAsia="宋体"/>
                <w:lang w:val="en-US" w:eastAsia="zh-CN"/>
              </w:rPr>
            </w:pPr>
            <w:r>
              <w:rPr>
                <w:rFonts w:hint="eastAsia"/>
                <w:lang w:val="en-US" w:eastAsia="zh-CN"/>
              </w:rPr>
              <w:t>To be further checked since modulation order has changed</w:t>
            </w:r>
          </w:p>
        </w:tc>
        <w:tc>
          <w:tcPr>
            <w:tcW w:w="1729" w:type="pct"/>
            <w:noWrap w:val="0"/>
            <w:vAlign w:val="top"/>
          </w:tcPr>
          <w:p>
            <w:pPr>
              <w:pStyle w:val="39"/>
              <w:suppressLineNumbers w:val="0"/>
              <w:spacing w:before="0" w:beforeAutospacing="0" w:afterAutospacing="0"/>
              <w:ind w:left="0" w:right="0"/>
              <w:rPr>
                <w:rFonts w:hint="default" w:eastAsia="宋体"/>
                <w:lang w:val="en-US" w:eastAsia="zh-CN"/>
              </w:rPr>
            </w:pPr>
            <w:r>
              <w:rPr>
                <w:rFonts w:hint="eastAsia" w:eastAsia="宋体"/>
                <w:lang w:val="en-US" w:eastAsia="zh-CN"/>
              </w:rPr>
              <w:t>BLER vs SNR for OOK/OOK4 signal could be further checked.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1" w:type="pct"/>
            <w:noWrap w:val="0"/>
            <w:vAlign w:val="top"/>
          </w:tcPr>
          <w:p>
            <w:pPr>
              <w:pStyle w:val="40"/>
              <w:suppressLineNumbers w:val="0"/>
              <w:spacing w:before="0" w:beforeAutospacing="0" w:afterAutospacing="0"/>
              <w:ind w:left="0" w:right="0"/>
              <w:rPr>
                <w:rFonts w:hint="default"/>
              </w:rPr>
            </w:pPr>
            <w:r>
              <w:rPr>
                <w:rFonts w:hint="eastAsia"/>
              </w:rPr>
              <w:t>U</w:t>
            </w:r>
            <w:r>
              <w:rPr>
                <w:rFonts w:hint="default"/>
              </w:rPr>
              <w:t>E distribution</w:t>
            </w:r>
          </w:p>
        </w:tc>
        <w:tc>
          <w:tcPr>
            <w:tcW w:w="1729" w:type="pct"/>
            <w:noWrap w:val="0"/>
            <w:vAlign w:val="top"/>
          </w:tcPr>
          <w:p>
            <w:pPr>
              <w:pStyle w:val="39"/>
              <w:suppressLineNumbers w:val="0"/>
              <w:spacing w:before="0" w:beforeAutospacing="0" w:afterAutospacing="0"/>
              <w:ind w:left="0" w:right="0"/>
              <w:rPr>
                <w:rFonts w:hint="default" w:eastAsia="宋体"/>
                <w:lang w:val="en-US" w:eastAsia="zh-CN"/>
              </w:rPr>
            </w:pPr>
            <w:r>
              <w:rPr>
                <w:rFonts w:hint="eastAsia"/>
                <w:lang w:val="en-US" w:eastAsia="zh-CN"/>
              </w:rPr>
              <w:t>Random distribution</w:t>
            </w:r>
          </w:p>
        </w:tc>
        <w:tc>
          <w:tcPr>
            <w:tcW w:w="1729" w:type="pct"/>
            <w:noWrap w:val="0"/>
            <w:vAlign w:val="top"/>
          </w:tcPr>
          <w:p>
            <w:pPr>
              <w:pStyle w:val="39"/>
              <w:suppressLineNumbers w:val="0"/>
              <w:spacing w:before="0" w:beforeAutospacing="0" w:afterAutospacing="0"/>
              <w:ind w:left="0" w:right="0"/>
              <w:rPr>
                <w:rFonts w:hint="default"/>
                <w:highlight w:val="cy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1" w:type="pct"/>
            <w:noWrap w:val="0"/>
            <w:vAlign w:val="top"/>
          </w:tcPr>
          <w:p>
            <w:pPr>
              <w:pStyle w:val="40"/>
              <w:suppressLineNumbers w:val="0"/>
              <w:spacing w:before="0" w:beforeAutospacing="0" w:afterAutospacing="0"/>
              <w:ind w:left="0" w:right="0"/>
              <w:rPr>
                <w:rFonts w:hint="default"/>
              </w:rPr>
            </w:pPr>
            <w:r>
              <w:rPr>
                <w:rFonts w:hint="default"/>
              </w:rPr>
              <w:t>Evaluation metrics</w:t>
            </w:r>
          </w:p>
        </w:tc>
        <w:tc>
          <w:tcPr>
            <w:tcW w:w="1729" w:type="pct"/>
            <w:noWrap w:val="0"/>
            <w:vAlign w:val="top"/>
          </w:tcPr>
          <w:p>
            <w:pPr>
              <w:pStyle w:val="39"/>
              <w:suppressLineNumbers w:val="0"/>
              <w:spacing w:before="0" w:beforeAutospacing="0" w:afterAutospacing="0"/>
              <w:ind w:left="0" w:right="0"/>
              <w:rPr>
                <w:rFonts w:hint="default"/>
              </w:rPr>
            </w:pPr>
            <w:r>
              <w:rPr>
                <w:rFonts w:hint="default"/>
              </w:rPr>
              <w:t>SINR vs ACS (as victim)</w:t>
            </w:r>
          </w:p>
        </w:tc>
        <w:tc>
          <w:tcPr>
            <w:tcW w:w="1729" w:type="pct"/>
            <w:noWrap w:val="0"/>
            <w:vAlign w:val="top"/>
          </w:tcPr>
          <w:p>
            <w:pPr>
              <w:pStyle w:val="39"/>
              <w:suppressLineNumbers w:val="0"/>
              <w:spacing w:before="0" w:beforeAutospacing="0" w:afterAutospacing="0"/>
              <w:ind w:left="0" w:right="0"/>
              <w:rPr>
                <w:rFonts w:hint="default"/>
                <w:highlight w:val="cyan"/>
              </w:rPr>
            </w:pPr>
          </w:p>
        </w:tc>
      </w:tr>
    </w:tbl>
    <w:p>
      <w:pPr>
        <w:pStyle w:val="111"/>
        <w:numPr>
          <w:ilvl w:val="0"/>
          <w:numId w:val="0"/>
        </w:numPr>
        <w:ind w:left="0" w:firstLine="0"/>
        <w:rPr>
          <w:rFonts w:hint="eastAsia"/>
          <w:lang w:val="en-US" w:eastAsia="zh-CN"/>
        </w:rPr>
      </w:pPr>
    </w:p>
    <w:p>
      <w:pPr>
        <w:tabs>
          <w:tab w:val="left" w:pos="2127"/>
        </w:tabs>
        <w:spacing w:after="0"/>
        <w:jc w:val="center"/>
        <w:rPr>
          <w:rFonts w:hint="eastAsia"/>
          <w:lang w:val="en-US" w:eastAsia="zh-CN"/>
        </w:rPr>
      </w:pPr>
      <w:r>
        <w:rPr>
          <w:rFonts w:hint="eastAsia"/>
          <w:lang w:val="en-US" w:eastAsia="zh-CN"/>
        </w:rPr>
        <w:t>Table 4. the simulation assumption for NR and standalone NB</w:t>
      </w:r>
    </w:p>
    <w:tbl>
      <w:tblPr>
        <w:tblStyle w:val="11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72"/>
        <w:gridCol w:w="3445"/>
        <w:gridCol w:w="34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542" w:type="pct"/>
            <w:noWrap w:val="0"/>
            <w:vAlign w:val="top"/>
          </w:tcPr>
          <w:p>
            <w:pPr>
              <w:pStyle w:val="38"/>
              <w:suppressLineNumbers w:val="0"/>
              <w:spacing w:before="0" w:beforeAutospacing="0" w:afterAutospacing="0"/>
              <w:ind w:left="0" w:right="0"/>
              <w:rPr>
                <w:rFonts w:hint="default"/>
              </w:rPr>
            </w:pPr>
          </w:p>
        </w:tc>
        <w:tc>
          <w:tcPr>
            <w:tcW w:w="1729" w:type="pct"/>
            <w:noWrap w:val="0"/>
            <w:vAlign w:val="top"/>
          </w:tcPr>
          <w:p>
            <w:pPr>
              <w:pStyle w:val="38"/>
              <w:suppressLineNumbers w:val="0"/>
              <w:spacing w:before="0" w:beforeAutospacing="0" w:afterAutospacing="0"/>
              <w:ind w:left="0" w:right="0"/>
              <w:rPr>
                <w:rFonts w:hint="default"/>
              </w:rPr>
            </w:pPr>
            <w:r>
              <w:rPr>
                <w:rFonts w:hint="eastAsia"/>
              </w:rPr>
              <w:t>NB-</w:t>
            </w:r>
            <w:r>
              <w:rPr>
                <w:rFonts w:hint="default"/>
              </w:rPr>
              <w:t>IoT</w:t>
            </w:r>
          </w:p>
          <w:p>
            <w:pPr>
              <w:pStyle w:val="38"/>
              <w:suppressLineNumbers w:val="0"/>
              <w:spacing w:before="0" w:beforeAutospacing="0" w:afterAutospacing="0"/>
              <w:ind w:left="0" w:right="0"/>
              <w:rPr>
                <w:rFonts w:hint="default"/>
              </w:rPr>
            </w:pPr>
            <w:r>
              <w:rPr>
                <w:rFonts w:hint="default"/>
              </w:rPr>
              <w:t>standalone</w:t>
            </w:r>
          </w:p>
        </w:tc>
        <w:tc>
          <w:tcPr>
            <w:tcW w:w="1729" w:type="pct"/>
            <w:noWrap w:val="0"/>
            <w:vAlign w:val="top"/>
          </w:tcPr>
          <w:p>
            <w:pPr>
              <w:pStyle w:val="38"/>
              <w:suppressLineNumbers w:val="0"/>
              <w:spacing w:before="0" w:beforeAutospacing="0" w:afterAutospacing="0"/>
              <w:ind w:left="0" w:right="0"/>
              <w:rPr>
                <w:rFonts w:hint="eastAsia"/>
                <w:lang w:val="en-US" w:eastAsia="zh-CN"/>
              </w:rPr>
            </w:pPr>
            <w:r>
              <w:rPr>
                <w:rFonts w:hint="eastAsia"/>
              </w:rPr>
              <w:t>N</w:t>
            </w:r>
            <w:r>
              <w:rPr>
                <w:rFonts w:hint="default"/>
              </w:rPr>
              <w:t>R</w:t>
            </w:r>
            <w:r>
              <w:rPr>
                <w:rFonts w:hint="eastAsia"/>
                <w:lang w:val="en-US" w:eastAsia="zh-CN"/>
              </w:rPr>
              <w:t xml:space="preserve"> </w:t>
            </w:r>
          </w:p>
          <w:p>
            <w:pPr>
              <w:pStyle w:val="38"/>
              <w:suppressLineNumbers w:val="0"/>
              <w:spacing w:before="0" w:beforeAutospacing="0" w:afterAutospacing="0"/>
              <w:ind w:left="0" w:right="0"/>
              <w:rPr>
                <w:rFonts w:hint="eastAsia"/>
                <w:lang w:val="en-US" w:eastAsia="zh-CN"/>
              </w:rPr>
            </w:pPr>
            <w:r>
              <w:rPr>
                <w:rFonts w:hint="eastAsia"/>
                <w:lang w:val="en-US" w:eastAsia="zh-CN"/>
              </w:rPr>
              <w:t>[in-band/guard band]</w:t>
            </w:r>
          </w:p>
          <w:p>
            <w:pPr>
              <w:pStyle w:val="38"/>
              <w:suppressLineNumbers w:val="0"/>
              <w:spacing w:before="0" w:beforeAutospacing="0" w:afterAutospacing="0"/>
              <w:ind w:left="0" w:right="0"/>
              <w:rPr>
                <w:rFonts w:hint="default"/>
                <w:lang w:val="en-US" w:eastAsia="zh-CN"/>
              </w:rPr>
            </w:pPr>
            <w:r>
              <w:rPr>
                <w:rFonts w:hint="eastAsia"/>
                <w:lang w:val="en-US" w:eastAsia="zh-CN"/>
              </w:rPr>
              <w:t>Adjacent carrier coexistence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noWrap w:val="0"/>
            <w:vAlign w:val="top"/>
          </w:tcPr>
          <w:p>
            <w:pPr>
              <w:pStyle w:val="40"/>
              <w:suppressLineNumbers w:val="0"/>
              <w:spacing w:before="0" w:beforeAutospacing="0" w:afterAutospacing="0"/>
              <w:ind w:left="0" w:right="0"/>
              <w:rPr>
                <w:rFonts w:hint="default"/>
              </w:rPr>
            </w:pPr>
            <w:r>
              <w:rPr>
                <w:rFonts w:hint="default"/>
              </w:rPr>
              <w:t>Carrier frequency in GHz</w:t>
            </w:r>
          </w:p>
        </w:tc>
        <w:tc>
          <w:tcPr>
            <w:tcW w:w="1729" w:type="pct"/>
            <w:noWrap w:val="0"/>
            <w:vAlign w:val="top"/>
          </w:tcPr>
          <w:p>
            <w:pPr>
              <w:pStyle w:val="39"/>
              <w:suppressLineNumbers w:val="0"/>
              <w:spacing w:before="0" w:beforeAutospacing="0" w:afterAutospacing="0"/>
              <w:ind w:left="0" w:right="0"/>
              <w:rPr>
                <w:rFonts w:hint="default" w:eastAsia="宋体"/>
                <w:lang w:val="en-US" w:eastAsia="zh-CN"/>
              </w:rPr>
            </w:pPr>
            <w:r>
              <w:rPr>
                <w:rFonts w:hint="eastAsia"/>
                <w:lang w:val="en-US" w:eastAsia="zh-CN"/>
              </w:rPr>
              <w:t>0.9</w:t>
            </w:r>
          </w:p>
        </w:tc>
        <w:tc>
          <w:tcPr>
            <w:tcW w:w="1729" w:type="pct"/>
            <w:noWrap w:val="0"/>
            <w:vAlign w:val="top"/>
          </w:tcPr>
          <w:p>
            <w:pPr>
              <w:pStyle w:val="39"/>
              <w:suppressLineNumbers w:val="0"/>
              <w:spacing w:before="0" w:beforeAutospacing="0" w:afterAutospacing="0"/>
              <w:ind w:left="0" w:right="0"/>
              <w:rPr>
                <w:rFonts w:hint="default" w:eastAsia="宋体"/>
                <w:lang w:val="en-US" w:eastAsia="zh-CN"/>
              </w:rPr>
            </w:pPr>
            <w:r>
              <w:rPr>
                <w:rFonts w:hint="eastAsia"/>
                <w:color w:val="000000"/>
                <w:szCs w:val="18"/>
                <w:lang w:val="en-US" w:eastAsia="zh-CN"/>
              </w:rPr>
              <w:t>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noWrap w:val="0"/>
            <w:vAlign w:val="top"/>
          </w:tcPr>
          <w:p>
            <w:pPr>
              <w:pStyle w:val="40"/>
              <w:suppressLineNumbers w:val="0"/>
              <w:spacing w:before="0" w:beforeAutospacing="0" w:afterAutospacing="0"/>
              <w:ind w:left="0" w:right="0"/>
              <w:rPr>
                <w:rFonts w:hint="default"/>
              </w:rPr>
            </w:pPr>
            <w:r>
              <w:rPr>
                <w:rFonts w:hint="default"/>
              </w:rPr>
              <w:t>Size of each nominal channel BW in MHz</w:t>
            </w:r>
          </w:p>
        </w:tc>
        <w:tc>
          <w:tcPr>
            <w:tcW w:w="1729" w:type="pct"/>
            <w:noWrap w:val="0"/>
            <w:vAlign w:val="top"/>
          </w:tcPr>
          <w:p>
            <w:pPr>
              <w:pStyle w:val="39"/>
              <w:suppressLineNumbers w:val="0"/>
              <w:spacing w:before="0" w:beforeAutospacing="0" w:afterAutospacing="0"/>
              <w:ind w:left="0" w:right="0"/>
              <w:rPr>
                <w:rFonts w:hint="default"/>
              </w:rPr>
            </w:pPr>
            <w:r>
              <w:rPr>
                <w:rFonts w:hint="default"/>
              </w:rPr>
              <w:t>0.2</w:t>
            </w:r>
          </w:p>
        </w:tc>
        <w:tc>
          <w:tcPr>
            <w:tcW w:w="1729" w:type="pct"/>
            <w:noWrap w:val="0"/>
            <w:vAlign w:val="top"/>
          </w:tcPr>
          <w:p>
            <w:pPr>
              <w:pStyle w:val="39"/>
              <w:suppressLineNumbers w:val="0"/>
              <w:spacing w:before="0" w:beforeAutospacing="0" w:afterAutospacing="0"/>
              <w:ind w:left="0" w:right="0"/>
              <w:rPr>
                <w:rFonts w:hint="default"/>
              </w:rPr>
            </w:pPr>
            <w:r>
              <w:rPr>
                <w:rFonts w:hint="default"/>
                <w:color w:val="000000"/>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noWrap w:val="0"/>
            <w:vAlign w:val="top"/>
          </w:tcPr>
          <w:p>
            <w:pPr>
              <w:pStyle w:val="40"/>
              <w:suppressLineNumbers w:val="0"/>
              <w:spacing w:before="0" w:beforeAutospacing="0" w:afterAutospacing="0"/>
              <w:ind w:left="0" w:right="0"/>
              <w:rPr>
                <w:rFonts w:hint="default"/>
              </w:rPr>
            </w:pPr>
            <w:r>
              <w:rPr>
                <w:rFonts w:hint="default"/>
              </w:rPr>
              <w:t>Transmission bandwidth in MHz</w:t>
            </w:r>
          </w:p>
        </w:tc>
        <w:tc>
          <w:tcPr>
            <w:tcW w:w="1729" w:type="pct"/>
            <w:noWrap w:val="0"/>
            <w:vAlign w:val="top"/>
          </w:tcPr>
          <w:p>
            <w:pPr>
              <w:pStyle w:val="39"/>
              <w:suppressLineNumbers w:val="0"/>
              <w:spacing w:before="0" w:beforeAutospacing="0" w:afterAutospacing="0"/>
              <w:ind w:left="0" w:right="0"/>
              <w:rPr>
                <w:rFonts w:hint="default"/>
              </w:rPr>
            </w:pPr>
            <w:r>
              <w:rPr>
                <w:rFonts w:hint="default"/>
              </w:rPr>
              <w:t>0.18</w:t>
            </w:r>
          </w:p>
        </w:tc>
        <w:tc>
          <w:tcPr>
            <w:tcW w:w="1729" w:type="pct"/>
            <w:noWrap w:val="0"/>
            <w:vAlign w:val="top"/>
          </w:tcPr>
          <w:p>
            <w:pPr>
              <w:pStyle w:val="39"/>
              <w:suppressLineNumbers w:val="0"/>
              <w:spacing w:before="0" w:beforeAutospacing="0" w:afterAutospacing="0"/>
              <w:ind w:left="0" w:right="0"/>
              <w:rPr>
                <w:rFonts w:hint="default"/>
              </w:rPr>
            </w:pPr>
            <w:r>
              <w:rPr>
                <w:rFonts w:hint="default"/>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noWrap w:val="0"/>
            <w:vAlign w:val="top"/>
          </w:tcPr>
          <w:p>
            <w:pPr>
              <w:pStyle w:val="40"/>
              <w:suppressLineNumbers w:val="0"/>
              <w:spacing w:before="0" w:beforeAutospacing="0" w:afterAutospacing="0"/>
              <w:ind w:left="0" w:right="0"/>
              <w:rPr>
                <w:rFonts w:hint="default"/>
              </w:rPr>
            </w:pPr>
            <w:r>
              <w:rPr>
                <w:rFonts w:hint="default"/>
              </w:rPr>
              <w:t>Environment</w:t>
            </w:r>
          </w:p>
        </w:tc>
        <w:tc>
          <w:tcPr>
            <w:tcW w:w="1729" w:type="pct"/>
            <w:noWrap w:val="0"/>
            <w:vAlign w:val="top"/>
          </w:tcPr>
          <w:p>
            <w:pPr>
              <w:pStyle w:val="39"/>
              <w:suppressLineNumbers w:val="0"/>
              <w:spacing w:before="0" w:beforeAutospacing="0" w:afterAutospacing="0"/>
              <w:ind w:left="0" w:right="0"/>
              <w:rPr>
                <w:rFonts w:hint="default"/>
              </w:rPr>
            </w:pPr>
            <w:r>
              <w:rPr>
                <w:rFonts w:hint="default"/>
              </w:rPr>
              <w:t>Urban macro</w:t>
            </w:r>
          </w:p>
          <w:p>
            <w:pPr>
              <w:pStyle w:val="39"/>
              <w:suppressLineNumbers w:val="0"/>
              <w:spacing w:before="0" w:beforeAutospacing="0" w:afterAutospacing="0"/>
              <w:ind w:left="0" w:right="0"/>
              <w:rPr>
                <w:rFonts w:hint="default"/>
              </w:rPr>
            </w:pPr>
            <w:r>
              <w:rPr>
                <w:rFonts w:hint="eastAsia"/>
              </w:rPr>
              <w:t>Rural</w:t>
            </w:r>
          </w:p>
        </w:tc>
        <w:tc>
          <w:tcPr>
            <w:tcW w:w="1729" w:type="pct"/>
            <w:noWrap w:val="0"/>
            <w:vAlign w:val="top"/>
          </w:tcPr>
          <w:p>
            <w:pPr>
              <w:pStyle w:val="39"/>
              <w:suppressLineNumbers w:val="0"/>
              <w:spacing w:before="0" w:beforeAutospacing="0" w:afterAutospacing="0"/>
              <w:ind w:left="0" w:right="0"/>
              <w:rPr>
                <w:rFonts w:hint="default"/>
                <w:highlight w:val="cyan"/>
              </w:rPr>
            </w:pPr>
            <w:r>
              <w:rPr>
                <w:rFonts w:hint="default"/>
              </w:rPr>
              <w:t>Deployment scenario related, see Table 6.2.2.4-2.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noWrap w:val="0"/>
            <w:vAlign w:val="top"/>
          </w:tcPr>
          <w:p>
            <w:pPr>
              <w:pStyle w:val="40"/>
              <w:suppressLineNumbers w:val="0"/>
              <w:spacing w:before="0" w:beforeAutospacing="0" w:afterAutospacing="0"/>
              <w:ind w:left="0" w:right="0"/>
              <w:rPr>
                <w:rFonts w:hint="default"/>
              </w:rPr>
            </w:pPr>
            <w:r>
              <w:rPr>
                <w:rFonts w:hint="default"/>
              </w:rPr>
              <w:t>Network layout</w:t>
            </w:r>
          </w:p>
        </w:tc>
        <w:tc>
          <w:tcPr>
            <w:tcW w:w="1729" w:type="pct"/>
            <w:noWrap w:val="0"/>
            <w:vAlign w:val="top"/>
          </w:tcPr>
          <w:p>
            <w:pPr>
              <w:pStyle w:val="39"/>
              <w:suppressLineNumbers w:val="0"/>
              <w:spacing w:before="0" w:beforeAutospacing="0" w:afterAutospacing="0"/>
              <w:ind w:left="0" w:right="0"/>
              <w:rPr>
                <w:rFonts w:hint="default"/>
              </w:rPr>
            </w:pPr>
            <w:r>
              <w:rPr>
                <w:rFonts w:hint="default"/>
              </w:rPr>
              <w:t>19-sites [57 sectors] with wrap-around</w:t>
            </w:r>
          </w:p>
        </w:tc>
        <w:tc>
          <w:tcPr>
            <w:tcW w:w="1729" w:type="pct"/>
            <w:noWrap w:val="0"/>
            <w:vAlign w:val="top"/>
          </w:tcPr>
          <w:p>
            <w:pPr>
              <w:pStyle w:val="39"/>
              <w:suppressLineNumbers w:val="0"/>
              <w:spacing w:before="0" w:beforeAutospacing="0" w:afterAutospacing="0"/>
              <w:ind w:left="0" w:right="0"/>
              <w:rPr>
                <w:rFonts w:hint="default"/>
              </w:rPr>
            </w:pPr>
            <w:r>
              <w:rPr>
                <w:rFonts w:hint="default"/>
                <w:color w:val="000000"/>
                <w:szCs w:val="18"/>
              </w:rPr>
              <w:t>19-sites 57 sectors with wrap-around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noWrap w:val="0"/>
            <w:vAlign w:val="top"/>
          </w:tcPr>
          <w:p>
            <w:pPr>
              <w:pStyle w:val="40"/>
              <w:suppressLineNumbers w:val="0"/>
              <w:spacing w:before="0" w:beforeAutospacing="0" w:afterAutospacing="0"/>
              <w:ind w:left="0" w:right="0"/>
              <w:rPr>
                <w:rFonts w:hint="default"/>
              </w:rPr>
            </w:pPr>
            <w:r>
              <w:rPr>
                <w:rFonts w:hint="default"/>
              </w:rPr>
              <w:t>Inter-site distance in meter</w:t>
            </w:r>
          </w:p>
        </w:tc>
        <w:tc>
          <w:tcPr>
            <w:tcW w:w="1729" w:type="pct"/>
            <w:noWrap w:val="0"/>
            <w:vAlign w:val="top"/>
          </w:tcPr>
          <w:p>
            <w:pPr>
              <w:pStyle w:val="39"/>
              <w:suppressLineNumbers w:val="0"/>
              <w:spacing w:before="0" w:beforeAutospacing="0" w:afterAutospacing="0"/>
              <w:ind w:left="0" w:right="0"/>
              <w:rPr>
                <w:rFonts w:hint="default"/>
              </w:rPr>
            </w:pPr>
            <w:r>
              <w:rPr>
                <w:rFonts w:hint="default"/>
              </w:rPr>
              <w:t>500 for 2GHz band</w:t>
            </w:r>
            <w:r>
              <w:rPr>
                <w:rFonts w:hint="eastAsia"/>
              </w:rPr>
              <w:t xml:space="preserve"> for UMA</w:t>
            </w:r>
          </w:p>
          <w:p>
            <w:pPr>
              <w:pStyle w:val="39"/>
              <w:suppressLineNumbers w:val="0"/>
              <w:spacing w:before="0" w:beforeAutospacing="0" w:afterAutospacing="0"/>
              <w:ind w:left="0" w:right="0"/>
              <w:rPr>
                <w:rFonts w:hint="default"/>
              </w:rPr>
            </w:pPr>
            <w:r>
              <w:rPr>
                <w:rFonts w:hint="default"/>
              </w:rPr>
              <w:t>TBD For Rural</w:t>
            </w:r>
          </w:p>
        </w:tc>
        <w:tc>
          <w:tcPr>
            <w:tcW w:w="1729" w:type="pct"/>
            <w:noWrap w:val="0"/>
            <w:vAlign w:val="top"/>
          </w:tcPr>
          <w:p>
            <w:pPr>
              <w:pStyle w:val="39"/>
              <w:suppressLineNumbers w:val="0"/>
              <w:spacing w:before="0" w:beforeAutospacing="0" w:afterAutospacing="0"/>
              <w:ind w:left="0" w:right="0"/>
              <w:rPr>
                <w:rFonts w:hint="default"/>
                <w:highlight w:val="cyan"/>
              </w:rPr>
            </w:pPr>
            <w:r>
              <w:rPr>
                <w:rFonts w:hint="default"/>
              </w:rPr>
              <w:t>Deployment scenario related, see Table 6.2.2.4-2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noWrap w:val="0"/>
            <w:vAlign w:val="top"/>
          </w:tcPr>
          <w:p>
            <w:pPr>
              <w:pStyle w:val="40"/>
              <w:suppressLineNumbers w:val="0"/>
              <w:spacing w:before="0" w:beforeAutospacing="0" w:afterAutospacing="0"/>
              <w:ind w:left="0" w:right="0"/>
              <w:rPr>
                <w:rFonts w:hint="default"/>
              </w:rPr>
            </w:pPr>
            <w:r>
              <w:rPr>
                <w:rFonts w:hint="default"/>
              </w:rPr>
              <w:t>System loading and activity</w:t>
            </w:r>
          </w:p>
        </w:tc>
        <w:tc>
          <w:tcPr>
            <w:tcW w:w="1729" w:type="pct"/>
            <w:noWrap w:val="0"/>
            <w:vAlign w:val="top"/>
          </w:tcPr>
          <w:p>
            <w:pPr>
              <w:pStyle w:val="39"/>
              <w:suppressLineNumbers w:val="0"/>
              <w:spacing w:before="0" w:beforeAutospacing="0" w:afterAutospacing="0"/>
              <w:ind w:left="0" w:right="0"/>
              <w:rPr>
                <w:rFonts w:hint="default"/>
              </w:rPr>
            </w:pPr>
            <w:r>
              <w:rPr>
                <w:rFonts w:hint="default"/>
              </w:rPr>
              <w:t>Full buffer 100%</w:t>
            </w:r>
          </w:p>
        </w:tc>
        <w:tc>
          <w:tcPr>
            <w:tcW w:w="1729" w:type="pct"/>
            <w:noWrap w:val="0"/>
            <w:vAlign w:val="top"/>
          </w:tcPr>
          <w:p>
            <w:pPr>
              <w:pStyle w:val="39"/>
              <w:suppressLineNumbers w:val="0"/>
              <w:spacing w:before="0" w:beforeAutospacing="0" w:afterAutospacing="0"/>
              <w:ind w:left="0" w:right="0"/>
              <w:rPr>
                <w:rFonts w:hint="default"/>
                <w:color w:val="000000"/>
                <w:szCs w:val="18"/>
              </w:rPr>
            </w:pPr>
            <w:r>
              <w:rPr>
                <w:rFonts w:hint="default"/>
                <w:color w:val="000000"/>
                <w:szCs w:val="18"/>
              </w:rPr>
              <w:t>See Table 6.2.1.1-1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noWrap w:val="0"/>
            <w:vAlign w:val="top"/>
          </w:tcPr>
          <w:p>
            <w:pPr>
              <w:pStyle w:val="40"/>
              <w:suppressLineNumbers w:val="0"/>
              <w:spacing w:before="0" w:beforeAutospacing="0" w:afterAutospacing="0"/>
              <w:ind w:left="0" w:right="0"/>
              <w:rPr>
                <w:rFonts w:hint="default"/>
              </w:rPr>
            </w:pPr>
            <w:r>
              <w:rPr>
                <w:rFonts w:hint="default"/>
              </w:rPr>
              <w:t>Network location</w:t>
            </w:r>
          </w:p>
        </w:tc>
        <w:tc>
          <w:tcPr>
            <w:tcW w:w="1729" w:type="pct"/>
            <w:noWrap w:val="0"/>
            <w:vAlign w:val="top"/>
          </w:tcPr>
          <w:p>
            <w:pPr>
              <w:pStyle w:val="39"/>
              <w:suppressLineNumbers w:val="0"/>
              <w:spacing w:before="0" w:beforeAutospacing="0" w:afterAutospacing="0"/>
              <w:ind w:left="0" w:right="0"/>
              <w:rPr>
                <w:rFonts w:hint="default"/>
              </w:rPr>
            </w:pPr>
            <w:r>
              <w:rPr>
                <w:rFonts w:hint="default"/>
              </w:rPr>
              <w:t>TBD</w:t>
            </w:r>
          </w:p>
        </w:tc>
        <w:tc>
          <w:tcPr>
            <w:tcW w:w="1729" w:type="pct"/>
            <w:noWrap w:val="0"/>
            <w:vAlign w:val="top"/>
          </w:tcPr>
          <w:p>
            <w:pPr>
              <w:pStyle w:val="39"/>
              <w:suppressLineNumbers w:val="0"/>
              <w:spacing w:before="0" w:beforeAutospacing="0" w:afterAutospacing="0"/>
              <w:ind w:left="0" w:right="0"/>
              <w:rPr>
                <w:rFonts w:hint="default" w:eastAsia="宋体"/>
                <w:highlight w:val="cyan"/>
              </w:rPr>
            </w:pPr>
            <w:r>
              <w:rPr>
                <w:rFonts w:hint="eastAsia"/>
                <w:color w:val="000000"/>
                <w:szCs w:val="18"/>
              </w:rPr>
              <w:t>See</w:t>
            </w:r>
            <w:r>
              <w:rPr>
                <w:rFonts w:hint="default"/>
                <w:color w:val="000000"/>
                <w:szCs w:val="18"/>
              </w:rPr>
              <w:t xml:space="preserve"> Table 6.2.1.1-1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noWrap w:val="0"/>
            <w:vAlign w:val="top"/>
          </w:tcPr>
          <w:p>
            <w:pPr>
              <w:pStyle w:val="40"/>
              <w:suppressLineNumbers w:val="0"/>
              <w:spacing w:before="0" w:beforeAutospacing="0" w:afterAutospacing="0"/>
              <w:ind w:left="0" w:right="0"/>
              <w:rPr>
                <w:rFonts w:hint="default"/>
              </w:rPr>
            </w:pPr>
            <w:r>
              <w:rPr>
                <w:rFonts w:hint="default"/>
              </w:rPr>
              <w:t>DL subcarrier spacing</w:t>
            </w:r>
          </w:p>
        </w:tc>
        <w:tc>
          <w:tcPr>
            <w:tcW w:w="1729" w:type="pct"/>
            <w:noWrap w:val="0"/>
            <w:vAlign w:val="top"/>
          </w:tcPr>
          <w:p>
            <w:pPr>
              <w:pStyle w:val="39"/>
              <w:suppressLineNumbers w:val="0"/>
              <w:spacing w:before="0" w:beforeAutospacing="0" w:afterAutospacing="0"/>
              <w:ind w:left="0" w:right="0"/>
              <w:rPr>
                <w:rFonts w:hint="default"/>
              </w:rPr>
            </w:pPr>
            <w:r>
              <w:rPr>
                <w:rFonts w:hint="default"/>
              </w:rPr>
              <w:t>15kHz</w:t>
            </w:r>
          </w:p>
        </w:tc>
        <w:tc>
          <w:tcPr>
            <w:tcW w:w="1729" w:type="pct"/>
            <w:noWrap w:val="0"/>
            <w:vAlign w:val="top"/>
          </w:tcPr>
          <w:p>
            <w:pPr>
              <w:pStyle w:val="39"/>
              <w:suppressLineNumbers w:val="0"/>
              <w:spacing w:before="0" w:beforeAutospacing="0" w:afterAutospacing="0"/>
              <w:ind w:left="0" w:right="0"/>
              <w:rPr>
                <w:rFonts w:hint="default"/>
              </w:rPr>
            </w:pPr>
            <w:r>
              <w:rPr>
                <w:rFonts w:hint="default"/>
                <w:color w:val="000000"/>
                <w:szCs w:val="18"/>
              </w:rPr>
              <w:t>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noWrap w:val="0"/>
            <w:vAlign w:val="top"/>
          </w:tcPr>
          <w:p>
            <w:pPr>
              <w:pStyle w:val="40"/>
              <w:suppressLineNumbers w:val="0"/>
              <w:spacing w:before="0" w:beforeAutospacing="0" w:afterAutospacing="0"/>
              <w:ind w:left="0" w:right="0"/>
              <w:rPr>
                <w:rFonts w:hint="default"/>
              </w:rPr>
            </w:pPr>
            <w:r>
              <w:rPr>
                <w:rFonts w:hint="default"/>
              </w:rPr>
              <w:t>UL</w:t>
            </w:r>
          </w:p>
        </w:tc>
        <w:tc>
          <w:tcPr>
            <w:tcW w:w="1729" w:type="pct"/>
            <w:noWrap w:val="0"/>
            <w:vAlign w:val="top"/>
          </w:tcPr>
          <w:p>
            <w:pPr>
              <w:pStyle w:val="39"/>
              <w:suppressLineNumbers w:val="0"/>
              <w:spacing w:before="0" w:beforeAutospacing="0" w:afterAutospacing="0"/>
              <w:ind w:left="0" w:right="0"/>
              <w:rPr>
                <w:rFonts w:hint="default"/>
              </w:rPr>
            </w:pPr>
            <w:r>
              <w:rPr>
                <w:rFonts w:hint="default"/>
              </w:rPr>
              <w:t xml:space="preserve">See </w:t>
            </w:r>
            <w:r>
              <w:rPr>
                <w:rFonts w:hint="eastAsia"/>
              </w:rPr>
              <w:t>RP-152284</w:t>
            </w:r>
            <w:r>
              <w:rPr>
                <w:rFonts w:hint="default"/>
              </w:rPr>
              <w:t>[7]</w:t>
            </w:r>
          </w:p>
        </w:tc>
        <w:tc>
          <w:tcPr>
            <w:tcW w:w="1729" w:type="pct"/>
            <w:noWrap w:val="0"/>
            <w:vAlign w:val="top"/>
          </w:tcPr>
          <w:p>
            <w:pPr>
              <w:pStyle w:val="39"/>
              <w:suppressLineNumbers w:val="0"/>
              <w:spacing w:before="0" w:beforeAutospacing="0" w:afterAutospacing="0"/>
              <w:ind w:left="0" w:right="0"/>
              <w:rPr>
                <w:rFonts w:hint="default"/>
              </w:rPr>
            </w:pPr>
            <w:r>
              <w:rPr>
                <w:rFonts w:hint="default"/>
                <w:color w:val="000000"/>
                <w:szCs w:val="18"/>
              </w:rPr>
              <w:t>OFDMA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noWrap w:val="0"/>
            <w:vAlign w:val="top"/>
          </w:tcPr>
          <w:p>
            <w:pPr>
              <w:pStyle w:val="40"/>
              <w:suppressLineNumbers w:val="0"/>
              <w:spacing w:before="0" w:beforeAutospacing="0" w:afterAutospacing="0"/>
              <w:ind w:left="0" w:right="0"/>
              <w:rPr>
                <w:rFonts w:hint="default"/>
              </w:rPr>
            </w:pPr>
            <w:r>
              <w:rPr>
                <w:rFonts w:hint="default"/>
              </w:rPr>
              <w:t>DL power control</w:t>
            </w:r>
          </w:p>
        </w:tc>
        <w:tc>
          <w:tcPr>
            <w:tcW w:w="1729" w:type="pct"/>
            <w:noWrap w:val="0"/>
            <w:vAlign w:val="top"/>
          </w:tcPr>
          <w:p>
            <w:pPr>
              <w:pStyle w:val="39"/>
              <w:suppressLineNumbers w:val="0"/>
              <w:spacing w:before="0" w:beforeAutospacing="0" w:afterAutospacing="0"/>
              <w:ind w:left="0" w:right="0"/>
              <w:rPr>
                <w:rFonts w:hint="default"/>
              </w:rPr>
            </w:pPr>
            <w:r>
              <w:rPr>
                <w:rFonts w:hint="default"/>
              </w:rPr>
              <w:t>No</w:t>
            </w:r>
          </w:p>
        </w:tc>
        <w:tc>
          <w:tcPr>
            <w:tcW w:w="1729" w:type="pct"/>
            <w:noWrap w:val="0"/>
            <w:vAlign w:val="top"/>
          </w:tcPr>
          <w:p>
            <w:pPr>
              <w:pStyle w:val="39"/>
              <w:suppressLineNumbers w:val="0"/>
              <w:spacing w:before="0" w:beforeAutospacing="0" w:afterAutospacing="0"/>
              <w:ind w:left="0" w:right="0"/>
              <w:rPr>
                <w:rFonts w:hint="default"/>
              </w:rPr>
            </w:pPr>
            <w:r>
              <w:rPr>
                <w:rFonts w:hint="default"/>
                <w:color w:val="000000"/>
                <w:szCs w:val="18"/>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noWrap w:val="0"/>
            <w:vAlign w:val="top"/>
          </w:tcPr>
          <w:p>
            <w:pPr>
              <w:pStyle w:val="40"/>
              <w:suppressLineNumbers w:val="0"/>
              <w:spacing w:before="0" w:beforeAutospacing="0" w:afterAutospacing="0"/>
              <w:ind w:left="0" w:right="0"/>
              <w:rPr>
                <w:rFonts w:hint="default"/>
              </w:rPr>
            </w:pPr>
            <w:r>
              <w:rPr>
                <w:rFonts w:hint="default"/>
              </w:rPr>
              <w:t>UL power control</w:t>
            </w:r>
          </w:p>
        </w:tc>
        <w:tc>
          <w:tcPr>
            <w:tcW w:w="1729" w:type="pct"/>
            <w:noWrap w:val="0"/>
            <w:vAlign w:val="top"/>
          </w:tcPr>
          <w:p>
            <w:pPr>
              <w:pStyle w:val="39"/>
              <w:suppressLineNumbers w:val="0"/>
              <w:spacing w:before="0" w:beforeAutospacing="0" w:afterAutospacing="0"/>
              <w:ind w:left="0" w:right="0"/>
              <w:rPr>
                <w:rFonts w:hint="default"/>
              </w:rPr>
            </w:pPr>
            <w:r>
              <w:rPr>
                <w:rFonts w:hint="default"/>
              </w:rPr>
              <w:t>TR 36.942[8] section 5.1.1.6</w:t>
            </w:r>
            <w:r>
              <w:rPr>
                <w:rFonts w:hint="eastAsia"/>
              </w:rPr>
              <w:t xml:space="preserve"> (set 1)</w:t>
            </w:r>
            <w:r>
              <w:rPr>
                <w:rFonts w:hint="default"/>
              </w:rPr>
              <w:t xml:space="preserve"> by bandwidth scale</w:t>
            </w:r>
            <w:r>
              <w:rPr>
                <w:rFonts w:hint="eastAsia"/>
              </w:rPr>
              <w:t>, target SNR at BS is 15 dB</w:t>
            </w:r>
          </w:p>
        </w:tc>
        <w:tc>
          <w:tcPr>
            <w:tcW w:w="1729" w:type="pct"/>
            <w:noWrap w:val="0"/>
            <w:vAlign w:val="top"/>
          </w:tcPr>
          <w:p>
            <w:pPr>
              <w:pStyle w:val="39"/>
              <w:suppressLineNumbers w:val="0"/>
              <w:spacing w:before="0" w:beforeAutospacing="0" w:afterAutospacing="0"/>
              <w:ind w:left="0" w:right="0"/>
              <w:rPr>
                <w:rFonts w:hint="default"/>
                <w:highlight w:val="cyan"/>
              </w:rPr>
            </w:pPr>
            <w:r>
              <w:rPr>
                <w:rFonts w:hint="default"/>
                <w:color w:val="000000"/>
                <w:szCs w:val="18"/>
              </w:rPr>
              <w:t>TR 36.942[8]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noWrap w:val="0"/>
            <w:vAlign w:val="top"/>
          </w:tcPr>
          <w:p>
            <w:pPr>
              <w:pStyle w:val="40"/>
              <w:suppressLineNumbers w:val="0"/>
              <w:spacing w:before="0" w:beforeAutospacing="0" w:afterAutospacing="0"/>
              <w:ind w:left="0" w:right="0"/>
              <w:rPr>
                <w:rFonts w:hint="default"/>
              </w:rPr>
            </w:pPr>
            <w:r>
              <w:rPr>
                <w:rFonts w:hint="default"/>
              </w:rPr>
              <w:t>Frequency reuse</w:t>
            </w:r>
          </w:p>
        </w:tc>
        <w:tc>
          <w:tcPr>
            <w:tcW w:w="1729" w:type="pct"/>
            <w:noWrap w:val="0"/>
            <w:vAlign w:val="top"/>
          </w:tcPr>
          <w:p>
            <w:pPr>
              <w:pStyle w:val="39"/>
              <w:suppressLineNumbers w:val="0"/>
              <w:spacing w:before="0" w:beforeAutospacing="0" w:afterAutospacing="0"/>
              <w:ind w:left="0" w:right="0"/>
              <w:rPr>
                <w:rFonts w:hint="default"/>
              </w:rPr>
            </w:pPr>
            <w:r>
              <w:rPr>
                <w:rFonts w:hint="default"/>
              </w:rPr>
              <w:t>1</w:t>
            </w:r>
          </w:p>
        </w:tc>
        <w:tc>
          <w:tcPr>
            <w:tcW w:w="1729" w:type="pct"/>
            <w:noWrap w:val="0"/>
            <w:vAlign w:val="top"/>
          </w:tcPr>
          <w:p>
            <w:pPr>
              <w:pStyle w:val="39"/>
              <w:suppressLineNumbers w:val="0"/>
              <w:spacing w:before="0" w:beforeAutospacing="0" w:afterAutospacing="0"/>
              <w:ind w:left="0" w:right="0"/>
              <w:rPr>
                <w:rFonts w:hint="default"/>
              </w:rPr>
            </w:pPr>
            <w:r>
              <w:rPr>
                <w:rFonts w:hint="default"/>
                <w:color w:val="000000"/>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noWrap w:val="0"/>
            <w:vAlign w:val="top"/>
          </w:tcPr>
          <w:p>
            <w:pPr>
              <w:pStyle w:val="40"/>
              <w:suppressLineNumbers w:val="0"/>
              <w:spacing w:before="0" w:beforeAutospacing="0" w:afterAutospacing="0"/>
              <w:ind w:left="0" w:right="0"/>
              <w:rPr>
                <w:rFonts w:hint="default"/>
              </w:rPr>
            </w:pPr>
            <w:r>
              <w:rPr>
                <w:rFonts w:hint="default"/>
              </w:rPr>
              <w:t>Number of scheduled UE per cell (DL)</w:t>
            </w:r>
          </w:p>
        </w:tc>
        <w:tc>
          <w:tcPr>
            <w:tcW w:w="1729" w:type="pct"/>
            <w:noWrap w:val="0"/>
            <w:vAlign w:val="top"/>
          </w:tcPr>
          <w:p>
            <w:pPr>
              <w:pStyle w:val="39"/>
              <w:suppressLineNumbers w:val="0"/>
              <w:spacing w:before="0" w:beforeAutospacing="0" w:afterAutospacing="0"/>
              <w:ind w:left="0" w:right="0"/>
              <w:rPr>
                <w:rFonts w:hint="default"/>
              </w:rPr>
            </w:pPr>
            <w:r>
              <w:rPr>
                <w:rFonts w:hint="default"/>
              </w:rPr>
              <w:t>1</w:t>
            </w:r>
          </w:p>
        </w:tc>
        <w:tc>
          <w:tcPr>
            <w:tcW w:w="1729" w:type="pct"/>
            <w:noWrap w:val="0"/>
            <w:vAlign w:val="top"/>
          </w:tcPr>
          <w:p>
            <w:pPr>
              <w:pStyle w:val="39"/>
              <w:suppressLineNumbers w:val="0"/>
              <w:spacing w:before="0" w:beforeAutospacing="0" w:afterAutospacing="0"/>
              <w:ind w:left="0" w:right="0"/>
              <w:rPr>
                <w:rFonts w:hint="default"/>
              </w:rPr>
            </w:pPr>
            <w:r>
              <w:rPr>
                <w:rFonts w:hint="default"/>
                <w:color w:val="000000"/>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noWrap w:val="0"/>
            <w:vAlign w:val="top"/>
          </w:tcPr>
          <w:p>
            <w:pPr>
              <w:pStyle w:val="40"/>
              <w:suppressLineNumbers w:val="0"/>
              <w:spacing w:before="0" w:beforeAutospacing="0" w:afterAutospacing="0"/>
              <w:ind w:left="0" w:right="0"/>
              <w:rPr>
                <w:rFonts w:hint="default"/>
              </w:rPr>
            </w:pPr>
            <w:r>
              <w:rPr>
                <w:rFonts w:hint="default"/>
              </w:rPr>
              <w:t>Number of scheduled UE per cell (UL)</w:t>
            </w:r>
          </w:p>
        </w:tc>
        <w:tc>
          <w:tcPr>
            <w:tcW w:w="1729" w:type="pct"/>
            <w:noWrap w:val="0"/>
            <w:vAlign w:val="top"/>
          </w:tcPr>
          <w:p>
            <w:pPr>
              <w:pStyle w:val="39"/>
              <w:suppressLineNumbers w:val="0"/>
              <w:spacing w:before="0" w:beforeAutospacing="0" w:afterAutospacing="0"/>
              <w:ind w:left="0" w:right="0"/>
              <w:rPr>
                <w:rFonts w:hint="default"/>
              </w:rPr>
            </w:pPr>
            <w:r>
              <w:rPr>
                <w:rFonts w:hint="eastAsia"/>
              </w:rPr>
              <w:t xml:space="preserve">3 for multi-tone (60kHz per UE), </w:t>
            </w:r>
          </w:p>
          <w:p>
            <w:pPr>
              <w:pStyle w:val="39"/>
              <w:suppressLineNumbers w:val="0"/>
              <w:spacing w:before="0" w:beforeAutospacing="0" w:afterAutospacing="0"/>
              <w:ind w:left="0" w:right="0"/>
              <w:rPr>
                <w:rFonts w:hint="default"/>
              </w:rPr>
            </w:pPr>
            <w:r>
              <w:rPr>
                <w:rFonts w:hint="eastAsia"/>
              </w:rPr>
              <w:t xml:space="preserve">12 for 15kHz single-tone, </w:t>
            </w:r>
          </w:p>
          <w:p>
            <w:pPr>
              <w:pStyle w:val="39"/>
              <w:suppressLineNumbers w:val="0"/>
              <w:spacing w:before="0" w:beforeAutospacing="0" w:afterAutospacing="0"/>
              <w:ind w:left="0" w:right="0"/>
              <w:rPr>
                <w:rFonts w:hint="default"/>
              </w:rPr>
            </w:pPr>
            <w:r>
              <w:rPr>
                <w:rFonts w:hint="eastAsia"/>
              </w:rPr>
              <w:t>48 for 3.75kHz single-tone</w:t>
            </w:r>
          </w:p>
        </w:tc>
        <w:tc>
          <w:tcPr>
            <w:tcW w:w="1729" w:type="pct"/>
            <w:noWrap w:val="0"/>
            <w:vAlign w:val="top"/>
          </w:tcPr>
          <w:p>
            <w:pPr>
              <w:pStyle w:val="39"/>
              <w:suppressLineNumbers w:val="0"/>
              <w:spacing w:before="0" w:beforeAutospacing="0" w:afterAutospacing="0"/>
              <w:ind w:left="0" w:right="0"/>
              <w:rPr>
                <w:rFonts w:hint="default"/>
              </w:rPr>
            </w:pPr>
            <w:r>
              <w:rPr>
                <w:rFonts w:hint="default"/>
                <w:color w:val="000000"/>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noWrap w:val="0"/>
            <w:vAlign w:val="top"/>
          </w:tcPr>
          <w:p>
            <w:pPr>
              <w:pStyle w:val="40"/>
              <w:suppressLineNumbers w:val="0"/>
              <w:spacing w:before="0" w:beforeAutospacing="0" w:afterAutospacing="0"/>
              <w:ind w:left="0" w:right="0"/>
              <w:rPr>
                <w:rFonts w:hint="default"/>
              </w:rPr>
            </w:pPr>
            <w:r>
              <w:rPr>
                <w:rFonts w:hint="default"/>
              </w:rPr>
              <w:t>UE antenna height in meter</w:t>
            </w:r>
          </w:p>
        </w:tc>
        <w:tc>
          <w:tcPr>
            <w:tcW w:w="1729" w:type="pct"/>
            <w:noWrap w:val="0"/>
            <w:vAlign w:val="top"/>
          </w:tcPr>
          <w:p>
            <w:pPr>
              <w:pStyle w:val="39"/>
              <w:suppressLineNumbers w:val="0"/>
              <w:spacing w:before="0" w:beforeAutospacing="0" w:afterAutospacing="0"/>
              <w:ind w:left="0" w:right="0"/>
              <w:rPr>
                <w:rFonts w:hint="default"/>
              </w:rPr>
            </w:pPr>
            <w:r>
              <w:rPr>
                <w:rFonts w:hint="default"/>
              </w:rPr>
              <w:t>1.5</w:t>
            </w:r>
          </w:p>
        </w:tc>
        <w:tc>
          <w:tcPr>
            <w:tcW w:w="1729" w:type="pct"/>
            <w:noWrap w:val="0"/>
            <w:vAlign w:val="top"/>
          </w:tcPr>
          <w:p>
            <w:pPr>
              <w:pStyle w:val="39"/>
              <w:suppressLineNumbers w:val="0"/>
              <w:spacing w:before="0" w:beforeAutospacing="0" w:afterAutospacing="0"/>
              <w:ind w:left="0" w:right="0"/>
              <w:rPr>
                <w:rFonts w:hint="default"/>
                <w:highlight w:val="cyan"/>
              </w:rPr>
            </w:pPr>
            <w:r>
              <w:rPr>
                <w:rFonts w:hint="default"/>
                <w:color w:val="000000"/>
                <w:szCs w:val="18"/>
              </w:rPr>
              <w:t>1.5m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noWrap w:val="0"/>
            <w:vAlign w:val="top"/>
          </w:tcPr>
          <w:p>
            <w:pPr>
              <w:pStyle w:val="40"/>
              <w:suppressLineNumbers w:val="0"/>
              <w:spacing w:before="0" w:beforeAutospacing="0" w:afterAutospacing="0"/>
              <w:ind w:left="0" w:right="0"/>
              <w:rPr>
                <w:rFonts w:hint="default"/>
              </w:rPr>
            </w:pPr>
            <w:r>
              <w:rPr>
                <w:rFonts w:hint="default"/>
              </w:rPr>
              <w:t>UE TX power in dBm</w:t>
            </w:r>
          </w:p>
        </w:tc>
        <w:tc>
          <w:tcPr>
            <w:tcW w:w="1729" w:type="pct"/>
            <w:noWrap w:val="0"/>
            <w:vAlign w:val="top"/>
          </w:tcPr>
          <w:p>
            <w:pPr>
              <w:pStyle w:val="39"/>
              <w:suppressLineNumbers w:val="0"/>
              <w:spacing w:before="0" w:beforeAutospacing="0" w:afterAutospacing="0"/>
              <w:ind w:left="0" w:right="0"/>
              <w:rPr>
                <w:rFonts w:hint="default"/>
              </w:rPr>
            </w:pPr>
            <w:r>
              <w:rPr>
                <w:rFonts w:hint="default"/>
              </w:rPr>
              <w:t>-40 to 23</w:t>
            </w:r>
          </w:p>
        </w:tc>
        <w:tc>
          <w:tcPr>
            <w:tcW w:w="1729" w:type="pct"/>
            <w:noWrap w:val="0"/>
            <w:vAlign w:val="top"/>
          </w:tcPr>
          <w:p>
            <w:pPr>
              <w:pStyle w:val="39"/>
              <w:suppressLineNumbers w:val="0"/>
              <w:spacing w:before="0" w:beforeAutospacing="0" w:afterAutospacing="0"/>
              <w:ind w:left="0" w:right="0"/>
              <w:rPr>
                <w:rFonts w:hint="default"/>
              </w:rPr>
            </w:pPr>
            <w:r>
              <w:rPr>
                <w:rFonts w:hint="default"/>
                <w:color w:val="000000"/>
                <w:szCs w:val="18"/>
              </w:rPr>
              <w:t>-40 to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noWrap w:val="0"/>
            <w:vAlign w:val="top"/>
          </w:tcPr>
          <w:p>
            <w:pPr>
              <w:pStyle w:val="40"/>
              <w:suppressLineNumbers w:val="0"/>
              <w:spacing w:before="0" w:beforeAutospacing="0" w:afterAutospacing="0"/>
              <w:ind w:left="0" w:right="0"/>
              <w:rPr>
                <w:rFonts w:hint="default"/>
              </w:rPr>
            </w:pPr>
            <w:r>
              <w:rPr>
                <w:rFonts w:hint="default"/>
              </w:rPr>
              <w:t>UE antenna gain in dBi</w:t>
            </w:r>
          </w:p>
        </w:tc>
        <w:tc>
          <w:tcPr>
            <w:tcW w:w="1729" w:type="pct"/>
            <w:noWrap w:val="0"/>
            <w:vAlign w:val="top"/>
          </w:tcPr>
          <w:p>
            <w:pPr>
              <w:pStyle w:val="39"/>
              <w:suppressLineNumbers w:val="0"/>
              <w:spacing w:before="0" w:beforeAutospacing="0" w:afterAutospacing="0"/>
              <w:ind w:left="0" w:right="0"/>
              <w:rPr>
                <w:rFonts w:hint="default"/>
              </w:rPr>
            </w:pPr>
            <w:r>
              <w:rPr>
                <w:rFonts w:hint="default"/>
              </w:rPr>
              <w:t>0</w:t>
            </w:r>
          </w:p>
        </w:tc>
        <w:tc>
          <w:tcPr>
            <w:tcW w:w="1729" w:type="pct"/>
            <w:noWrap w:val="0"/>
            <w:vAlign w:val="top"/>
          </w:tcPr>
          <w:p>
            <w:pPr>
              <w:pStyle w:val="39"/>
              <w:suppressLineNumbers w:val="0"/>
              <w:spacing w:before="0" w:beforeAutospacing="0" w:afterAutospacing="0"/>
              <w:ind w:left="0" w:right="0"/>
              <w:rPr>
                <w:rFonts w:hint="default"/>
              </w:rPr>
            </w:pPr>
            <w:r>
              <w:rPr>
                <w:rFonts w:hint="default"/>
                <w:color w:val="000000"/>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noWrap w:val="0"/>
            <w:vAlign w:val="top"/>
          </w:tcPr>
          <w:p>
            <w:pPr>
              <w:pStyle w:val="40"/>
              <w:suppressLineNumbers w:val="0"/>
              <w:spacing w:before="0" w:beforeAutospacing="0" w:afterAutospacing="0"/>
              <w:ind w:left="0" w:right="0"/>
              <w:rPr>
                <w:rFonts w:hint="default"/>
              </w:rPr>
            </w:pPr>
            <w:r>
              <w:rPr>
                <w:rFonts w:hint="default"/>
              </w:rPr>
              <w:t>Building penetration loss</w:t>
            </w:r>
          </w:p>
        </w:tc>
        <w:tc>
          <w:tcPr>
            <w:tcW w:w="1729" w:type="pct"/>
            <w:noWrap w:val="0"/>
            <w:vAlign w:val="top"/>
          </w:tcPr>
          <w:p>
            <w:pPr>
              <w:pStyle w:val="39"/>
              <w:suppressLineNumbers w:val="0"/>
              <w:spacing w:before="0" w:beforeAutospacing="0" w:afterAutospacing="0"/>
              <w:ind w:left="0" w:right="0"/>
              <w:rPr>
                <w:rFonts w:hint="default"/>
              </w:rPr>
            </w:pPr>
            <w:r>
              <w:rPr>
                <w:rFonts w:hint="default"/>
              </w:rPr>
              <w:t xml:space="preserve">TR 45.820[9] Annex D.1 </w:t>
            </w:r>
          </w:p>
        </w:tc>
        <w:tc>
          <w:tcPr>
            <w:tcW w:w="1729" w:type="pct"/>
            <w:noWrap w:val="0"/>
            <w:vAlign w:val="top"/>
          </w:tcPr>
          <w:p>
            <w:pPr>
              <w:pStyle w:val="39"/>
              <w:suppressLineNumbers w:val="0"/>
              <w:spacing w:before="0" w:beforeAutospacing="0" w:afterAutospacing="0"/>
              <w:ind w:left="0" w:right="0"/>
              <w:rPr>
                <w:rFonts w:hint="default"/>
                <w:highlight w:val="cyan"/>
              </w:rPr>
            </w:pPr>
            <w:r>
              <w:rPr>
                <w:rFonts w:hint="default"/>
                <w:color w:val="000000"/>
                <w:szCs w:val="18"/>
              </w:rPr>
              <w:t>In pathloss model, TR 38.901[10]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noWrap w:val="0"/>
            <w:vAlign w:val="top"/>
          </w:tcPr>
          <w:p>
            <w:pPr>
              <w:pStyle w:val="40"/>
              <w:suppressLineNumbers w:val="0"/>
              <w:spacing w:before="0" w:beforeAutospacing="0" w:afterAutospacing="0"/>
              <w:ind w:left="0" w:right="0"/>
              <w:rPr>
                <w:rFonts w:hint="default"/>
              </w:rPr>
            </w:pPr>
            <w:r>
              <w:rPr>
                <w:rFonts w:hint="default"/>
              </w:rPr>
              <w:t>Cell selection margin in dB</w:t>
            </w:r>
          </w:p>
        </w:tc>
        <w:tc>
          <w:tcPr>
            <w:tcW w:w="1729" w:type="pct"/>
            <w:noWrap w:val="0"/>
            <w:vAlign w:val="top"/>
          </w:tcPr>
          <w:p>
            <w:pPr>
              <w:pStyle w:val="39"/>
              <w:suppressLineNumbers w:val="0"/>
              <w:spacing w:before="0" w:beforeAutospacing="0" w:afterAutospacing="0"/>
              <w:ind w:left="0" w:right="0"/>
              <w:rPr>
                <w:rFonts w:hint="default"/>
              </w:rPr>
            </w:pPr>
            <w:r>
              <w:rPr>
                <w:rFonts w:hint="default"/>
              </w:rPr>
              <w:t>3</w:t>
            </w:r>
          </w:p>
        </w:tc>
        <w:tc>
          <w:tcPr>
            <w:tcW w:w="1729" w:type="pct"/>
            <w:noWrap w:val="0"/>
            <w:vAlign w:val="top"/>
          </w:tcPr>
          <w:p>
            <w:pPr>
              <w:pStyle w:val="39"/>
              <w:suppressLineNumbers w:val="0"/>
              <w:spacing w:before="0" w:beforeAutospacing="0" w:afterAutospacing="0"/>
              <w:ind w:left="0" w:right="0"/>
              <w:rPr>
                <w:rFonts w:hint="default"/>
              </w:rPr>
            </w:pPr>
            <w:r>
              <w:rPr>
                <w:rFonts w:hint="default"/>
                <w:color w:val="000000"/>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noWrap w:val="0"/>
            <w:vAlign w:val="top"/>
          </w:tcPr>
          <w:p>
            <w:pPr>
              <w:pStyle w:val="40"/>
              <w:suppressLineNumbers w:val="0"/>
              <w:spacing w:before="0" w:beforeAutospacing="0" w:afterAutospacing="0"/>
              <w:ind w:left="0" w:right="0"/>
              <w:rPr>
                <w:rFonts w:hint="default"/>
              </w:rPr>
            </w:pPr>
            <w:r>
              <w:rPr>
                <w:rFonts w:hint="default"/>
              </w:rPr>
              <w:t>BS-MS min distance in meters</w:t>
            </w:r>
          </w:p>
        </w:tc>
        <w:tc>
          <w:tcPr>
            <w:tcW w:w="1729" w:type="pct"/>
            <w:noWrap w:val="0"/>
            <w:vAlign w:val="top"/>
          </w:tcPr>
          <w:p>
            <w:pPr>
              <w:pStyle w:val="39"/>
              <w:suppressLineNumbers w:val="0"/>
              <w:spacing w:before="0" w:beforeAutospacing="0" w:afterAutospacing="0"/>
              <w:ind w:left="0" w:right="0"/>
              <w:rPr>
                <w:rFonts w:hint="default"/>
              </w:rPr>
            </w:pPr>
            <w:r>
              <w:rPr>
                <w:rFonts w:hint="default"/>
              </w:rPr>
              <w:t>35</w:t>
            </w:r>
          </w:p>
        </w:tc>
        <w:tc>
          <w:tcPr>
            <w:tcW w:w="1729" w:type="pct"/>
            <w:noWrap w:val="0"/>
            <w:vAlign w:val="top"/>
          </w:tcPr>
          <w:p>
            <w:pPr>
              <w:pStyle w:val="39"/>
              <w:suppressLineNumbers w:val="0"/>
              <w:spacing w:before="0" w:beforeAutospacing="0" w:afterAutospacing="0"/>
              <w:ind w:left="0" w:right="0"/>
              <w:rPr>
                <w:rFonts w:hint="default"/>
                <w:highlight w:val="cyan"/>
              </w:rPr>
            </w:pPr>
            <w:r>
              <w:rPr>
                <w:rFonts w:hint="eastAsia"/>
              </w:rPr>
              <w:t>3</w:t>
            </w:r>
            <w:r>
              <w:rPr>
                <w:rFonts w:hint="default"/>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noWrap w:val="0"/>
            <w:vAlign w:val="top"/>
          </w:tcPr>
          <w:p>
            <w:pPr>
              <w:pStyle w:val="40"/>
              <w:suppressLineNumbers w:val="0"/>
              <w:spacing w:before="0" w:beforeAutospacing="0" w:afterAutospacing="0"/>
              <w:ind w:left="0" w:right="0"/>
              <w:rPr>
                <w:rFonts w:hint="default"/>
              </w:rPr>
            </w:pPr>
            <w:r>
              <w:rPr>
                <w:rFonts w:hint="default"/>
              </w:rPr>
              <w:t>BS noise figure in dB</w:t>
            </w:r>
          </w:p>
        </w:tc>
        <w:tc>
          <w:tcPr>
            <w:tcW w:w="1729" w:type="pct"/>
            <w:noWrap w:val="0"/>
            <w:vAlign w:val="top"/>
          </w:tcPr>
          <w:p>
            <w:pPr>
              <w:pStyle w:val="39"/>
              <w:suppressLineNumbers w:val="0"/>
              <w:spacing w:before="0" w:beforeAutospacing="0" w:afterAutospacing="0"/>
              <w:ind w:left="0" w:right="0"/>
              <w:rPr>
                <w:rFonts w:hint="default"/>
              </w:rPr>
            </w:pPr>
            <w:r>
              <w:rPr>
                <w:rFonts w:hint="default"/>
              </w:rPr>
              <w:t>5</w:t>
            </w:r>
          </w:p>
        </w:tc>
        <w:tc>
          <w:tcPr>
            <w:tcW w:w="1729" w:type="pct"/>
            <w:noWrap w:val="0"/>
            <w:vAlign w:val="top"/>
          </w:tcPr>
          <w:p>
            <w:pPr>
              <w:pStyle w:val="39"/>
              <w:suppressLineNumbers w:val="0"/>
              <w:spacing w:before="0" w:beforeAutospacing="0" w:afterAutospacing="0"/>
              <w:ind w:left="0" w:right="0"/>
              <w:rPr>
                <w:rFonts w:hint="default"/>
              </w:rPr>
            </w:pPr>
            <w:r>
              <w:rPr>
                <w:rFonts w:hint="default"/>
                <w:color w:val="000000"/>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noWrap w:val="0"/>
            <w:vAlign w:val="top"/>
          </w:tcPr>
          <w:p>
            <w:pPr>
              <w:pStyle w:val="40"/>
              <w:suppressLineNumbers w:val="0"/>
              <w:spacing w:before="0" w:beforeAutospacing="0" w:afterAutospacing="0"/>
              <w:ind w:left="0" w:right="0"/>
              <w:rPr>
                <w:rFonts w:hint="default"/>
                <w:lang w:val="fr-FR"/>
              </w:rPr>
            </w:pPr>
            <w:r>
              <w:rPr>
                <w:rFonts w:hint="default"/>
                <w:lang w:val="fr-FR"/>
              </w:rPr>
              <w:t>UE noise figure in dB</w:t>
            </w:r>
          </w:p>
        </w:tc>
        <w:tc>
          <w:tcPr>
            <w:tcW w:w="1729" w:type="pct"/>
            <w:noWrap w:val="0"/>
            <w:vAlign w:val="top"/>
          </w:tcPr>
          <w:p>
            <w:pPr>
              <w:pStyle w:val="39"/>
              <w:suppressLineNumbers w:val="0"/>
              <w:spacing w:before="0" w:beforeAutospacing="0" w:afterAutospacing="0"/>
              <w:ind w:left="0" w:right="0"/>
              <w:rPr>
                <w:rFonts w:hint="default"/>
              </w:rPr>
            </w:pPr>
            <w:r>
              <w:rPr>
                <w:rFonts w:hint="default"/>
              </w:rPr>
              <w:t>9</w:t>
            </w:r>
          </w:p>
        </w:tc>
        <w:tc>
          <w:tcPr>
            <w:tcW w:w="1729" w:type="pct"/>
            <w:noWrap w:val="0"/>
            <w:vAlign w:val="top"/>
          </w:tcPr>
          <w:p>
            <w:pPr>
              <w:pStyle w:val="39"/>
              <w:suppressLineNumbers w:val="0"/>
              <w:spacing w:before="0" w:beforeAutospacing="0" w:afterAutospacing="0"/>
              <w:ind w:left="0" w:right="0"/>
              <w:rPr>
                <w:rFonts w:hint="default"/>
              </w:rPr>
            </w:pPr>
            <w:r>
              <w:rPr>
                <w:rFonts w:hint="default"/>
                <w:color w:val="000000"/>
                <w:szCs w:val="18"/>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42" w:type="pct"/>
            <w:noWrap w:val="0"/>
            <w:vAlign w:val="top"/>
          </w:tcPr>
          <w:p>
            <w:pPr>
              <w:pStyle w:val="40"/>
              <w:suppressLineNumbers w:val="0"/>
              <w:spacing w:before="0" w:beforeAutospacing="0" w:afterAutospacing="0"/>
              <w:ind w:left="0" w:right="0"/>
              <w:rPr>
                <w:rFonts w:hint="default"/>
              </w:rPr>
            </w:pPr>
            <w:r>
              <w:rPr>
                <w:rFonts w:hint="default"/>
              </w:rPr>
              <w:t>BS-UE path-loss model</w:t>
            </w:r>
          </w:p>
        </w:tc>
        <w:tc>
          <w:tcPr>
            <w:tcW w:w="1729" w:type="pct"/>
            <w:noWrap w:val="0"/>
            <w:vAlign w:val="top"/>
          </w:tcPr>
          <w:p>
            <w:pPr>
              <w:pStyle w:val="39"/>
              <w:suppressLineNumbers w:val="0"/>
              <w:spacing w:before="0" w:beforeAutospacing="0" w:afterAutospacing="0"/>
              <w:ind w:left="0" w:right="0"/>
              <w:rPr>
                <w:rFonts w:hint="default"/>
              </w:rPr>
            </w:pPr>
            <w:r>
              <w:rPr>
                <w:rFonts w:hint="default"/>
              </w:rPr>
              <w:t>TR 36.942</w:t>
            </w:r>
            <w:r>
              <w:rPr>
                <w:rFonts w:hint="default"/>
                <w:color w:val="000000"/>
                <w:szCs w:val="18"/>
              </w:rPr>
              <w:t>[8]</w:t>
            </w:r>
            <w:r>
              <w:rPr>
                <w:rFonts w:hint="default"/>
              </w:rPr>
              <w:t xml:space="preserve"> macro urban</w:t>
            </w:r>
          </w:p>
        </w:tc>
        <w:tc>
          <w:tcPr>
            <w:tcW w:w="1729" w:type="pct"/>
            <w:noWrap w:val="0"/>
            <w:vAlign w:val="top"/>
          </w:tcPr>
          <w:p>
            <w:pPr>
              <w:pStyle w:val="39"/>
              <w:suppressLineNumbers w:val="0"/>
              <w:spacing w:before="0" w:beforeAutospacing="0" w:afterAutospacing="0"/>
              <w:ind w:left="0" w:right="0"/>
              <w:rPr>
                <w:rFonts w:hint="default"/>
              </w:rPr>
            </w:pPr>
            <w:r>
              <w:rPr>
                <w:rFonts w:hint="default"/>
                <w:color w:val="000000"/>
                <w:szCs w:val="18"/>
              </w:rPr>
              <w:t>TR 38.901[10]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noWrap w:val="0"/>
            <w:vAlign w:val="top"/>
          </w:tcPr>
          <w:p>
            <w:pPr>
              <w:pStyle w:val="40"/>
              <w:suppressLineNumbers w:val="0"/>
              <w:spacing w:before="0" w:beforeAutospacing="0" w:afterAutospacing="0"/>
              <w:ind w:left="0" w:right="0"/>
              <w:rPr>
                <w:rFonts w:hint="default"/>
              </w:rPr>
            </w:pPr>
            <w:r>
              <w:rPr>
                <w:rFonts w:hint="default"/>
              </w:rPr>
              <w:t>Standard deviation of BS-UE log-normal shadow fading in dB</w:t>
            </w:r>
          </w:p>
        </w:tc>
        <w:tc>
          <w:tcPr>
            <w:tcW w:w="1729" w:type="pct"/>
            <w:noWrap w:val="0"/>
            <w:vAlign w:val="top"/>
          </w:tcPr>
          <w:p>
            <w:pPr>
              <w:pStyle w:val="39"/>
              <w:suppressLineNumbers w:val="0"/>
              <w:spacing w:before="0" w:beforeAutospacing="0" w:afterAutospacing="0"/>
              <w:ind w:left="0" w:right="0"/>
              <w:rPr>
                <w:rFonts w:hint="default"/>
              </w:rPr>
            </w:pPr>
            <w:r>
              <w:rPr>
                <w:rFonts w:hint="default"/>
              </w:rPr>
              <w:t>10</w:t>
            </w:r>
          </w:p>
        </w:tc>
        <w:tc>
          <w:tcPr>
            <w:tcW w:w="1729" w:type="pct"/>
            <w:noWrap w:val="0"/>
            <w:vAlign w:val="top"/>
          </w:tcPr>
          <w:p>
            <w:pPr>
              <w:pStyle w:val="39"/>
              <w:suppressLineNumbers w:val="0"/>
              <w:spacing w:before="0" w:beforeAutospacing="0" w:afterAutospacing="0"/>
              <w:ind w:left="0" w:right="0"/>
              <w:rPr>
                <w:rFonts w:hint="default"/>
                <w:highlight w:val="cyan"/>
              </w:rPr>
            </w:pPr>
            <w:r>
              <w:rPr>
                <w:rFonts w:hint="default"/>
                <w:color w:val="000000"/>
                <w:szCs w:val="18"/>
              </w:rPr>
              <w:t>Deployment scenario related, referring to TR 38.901[10]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noWrap w:val="0"/>
            <w:vAlign w:val="top"/>
          </w:tcPr>
          <w:p>
            <w:pPr>
              <w:pStyle w:val="40"/>
              <w:suppressLineNumbers w:val="0"/>
              <w:spacing w:before="0" w:beforeAutospacing="0" w:afterAutospacing="0"/>
              <w:ind w:left="0" w:right="0"/>
              <w:rPr>
                <w:rFonts w:hint="default"/>
              </w:rPr>
            </w:pPr>
            <w:r>
              <w:rPr>
                <w:rFonts w:hint="default"/>
              </w:rPr>
              <w:t>Shadowing correlation</w:t>
            </w:r>
          </w:p>
        </w:tc>
        <w:tc>
          <w:tcPr>
            <w:tcW w:w="1729" w:type="pct"/>
            <w:noWrap w:val="0"/>
            <w:vAlign w:val="top"/>
          </w:tcPr>
          <w:p>
            <w:pPr>
              <w:pStyle w:val="39"/>
              <w:suppressLineNumbers w:val="0"/>
              <w:spacing w:before="0" w:beforeAutospacing="0" w:afterAutospacing="0"/>
              <w:ind w:left="0" w:right="0"/>
              <w:rPr>
                <w:rFonts w:hint="default"/>
              </w:rPr>
            </w:pPr>
            <w:r>
              <w:rPr>
                <w:rFonts w:hint="default"/>
              </w:rPr>
              <w:t xml:space="preserve">Inter-cell 0.5 </w:t>
            </w:r>
          </w:p>
          <w:p>
            <w:pPr>
              <w:pStyle w:val="39"/>
              <w:suppressLineNumbers w:val="0"/>
              <w:spacing w:before="0" w:beforeAutospacing="0" w:afterAutospacing="0"/>
              <w:ind w:left="0" w:right="0"/>
              <w:rPr>
                <w:rFonts w:hint="default"/>
              </w:rPr>
            </w:pPr>
            <w:r>
              <w:rPr>
                <w:rFonts w:hint="default"/>
              </w:rPr>
              <w:t>Intra-cell 1</w:t>
            </w:r>
          </w:p>
        </w:tc>
        <w:tc>
          <w:tcPr>
            <w:tcW w:w="1729" w:type="pct"/>
            <w:noWrap w:val="0"/>
            <w:vAlign w:val="top"/>
          </w:tcPr>
          <w:p>
            <w:pPr>
              <w:pStyle w:val="39"/>
              <w:suppressLineNumbers w:val="0"/>
              <w:spacing w:before="0" w:beforeAutospacing="0" w:afterAutospacing="0"/>
              <w:ind w:left="0" w:right="0"/>
              <w:rPr>
                <w:rFonts w:hint="default"/>
              </w:rPr>
            </w:pPr>
            <w:r>
              <w:rPr>
                <w:rFonts w:hint="default"/>
              </w:rPr>
              <w:t xml:space="preserve">Inter-cell 0.5 </w:t>
            </w:r>
          </w:p>
          <w:p>
            <w:pPr>
              <w:pStyle w:val="39"/>
              <w:suppressLineNumbers w:val="0"/>
              <w:spacing w:before="0" w:beforeAutospacing="0" w:afterAutospacing="0"/>
              <w:ind w:left="0" w:right="0"/>
              <w:rPr>
                <w:rFonts w:hint="default"/>
              </w:rPr>
            </w:pPr>
            <w:r>
              <w:rPr>
                <w:rFonts w:hint="default"/>
              </w:rPr>
              <w:t>Intra-cell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noWrap w:val="0"/>
            <w:vAlign w:val="top"/>
          </w:tcPr>
          <w:p>
            <w:pPr>
              <w:pStyle w:val="40"/>
              <w:suppressLineNumbers w:val="0"/>
              <w:spacing w:before="0" w:beforeAutospacing="0" w:afterAutospacing="0"/>
              <w:ind w:left="0" w:right="0"/>
              <w:rPr>
                <w:rFonts w:hint="default"/>
              </w:rPr>
            </w:pPr>
            <w:r>
              <w:rPr>
                <w:rFonts w:hint="default"/>
              </w:rPr>
              <w:t>Link-level performance model</w:t>
            </w:r>
          </w:p>
        </w:tc>
        <w:tc>
          <w:tcPr>
            <w:tcW w:w="1729" w:type="pct"/>
            <w:noWrap w:val="0"/>
            <w:vAlign w:val="top"/>
          </w:tcPr>
          <w:p>
            <w:pPr>
              <w:pStyle w:val="39"/>
              <w:suppressLineNumbers w:val="0"/>
              <w:spacing w:before="0" w:beforeAutospacing="0" w:afterAutospacing="0"/>
              <w:ind w:left="0" w:right="0"/>
              <w:rPr>
                <w:rFonts w:hint="default"/>
              </w:rPr>
            </w:pPr>
          </w:p>
        </w:tc>
        <w:tc>
          <w:tcPr>
            <w:tcW w:w="1729" w:type="pct"/>
            <w:noWrap w:val="0"/>
            <w:vAlign w:val="top"/>
          </w:tcPr>
          <w:p>
            <w:pPr>
              <w:pStyle w:val="39"/>
              <w:suppressLineNumbers w:val="0"/>
              <w:spacing w:before="0" w:beforeAutospacing="0" w:afterAutospacing="0"/>
              <w:ind w:left="0" w:right="0"/>
              <w:rPr>
                <w:rFonts w:hint="default"/>
                <w:color w:val="000000"/>
                <w:szCs w:val="18"/>
              </w:rPr>
            </w:pPr>
            <w:r>
              <w:rPr>
                <w:rFonts w:hint="default"/>
                <w:color w:val="000000"/>
                <w:szCs w:val="18"/>
              </w:rPr>
              <w:t>See Section 6.2.8</w:t>
            </w:r>
          </w:p>
          <w:p>
            <w:pPr>
              <w:pStyle w:val="39"/>
              <w:suppressLineNumbers w:val="0"/>
              <w:spacing w:before="0" w:beforeAutospacing="0" w:afterAutospacing="0"/>
              <w:ind w:left="0" w:right="0"/>
              <w:rPr>
                <w:rFonts w:hint="default"/>
              </w:rPr>
            </w:pPr>
            <w:r>
              <w:rPr>
                <w:rFonts w:hint="default"/>
                <w:color w:val="000000"/>
                <w:szCs w:val="18"/>
              </w:rPr>
              <w:t>Throughtput-SINR mapping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noWrap w:val="0"/>
            <w:vAlign w:val="top"/>
          </w:tcPr>
          <w:p>
            <w:pPr>
              <w:pStyle w:val="40"/>
              <w:suppressLineNumbers w:val="0"/>
              <w:spacing w:before="0" w:beforeAutospacing="0" w:afterAutospacing="0"/>
              <w:ind w:left="0" w:right="0"/>
              <w:rPr>
                <w:rFonts w:hint="default"/>
              </w:rPr>
            </w:pPr>
            <w:r>
              <w:rPr>
                <w:rFonts w:hint="eastAsia"/>
              </w:rPr>
              <w:t>U</w:t>
            </w:r>
            <w:r>
              <w:rPr>
                <w:rFonts w:hint="default"/>
              </w:rPr>
              <w:t>E distribution</w:t>
            </w:r>
          </w:p>
        </w:tc>
        <w:tc>
          <w:tcPr>
            <w:tcW w:w="1729" w:type="pct"/>
            <w:noWrap w:val="0"/>
            <w:vAlign w:val="top"/>
          </w:tcPr>
          <w:p>
            <w:pPr>
              <w:pStyle w:val="39"/>
              <w:suppressLineNumbers w:val="0"/>
              <w:spacing w:before="0" w:beforeAutospacing="0" w:afterAutospacing="0"/>
              <w:ind w:left="0" w:right="0"/>
              <w:rPr>
                <w:rFonts w:hint="default"/>
              </w:rPr>
            </w:pPr>
          </w:p>
        </w:tc>
        <w:tc>
          <w:tcPr>
            <w:tcW w:w="1729" w:type="pct"/>
            <w:noWrap w:val="0"/>
            <w:vAlign w:val="top"/>
          </w:tcPr>
          <w:p>
            <w:pPr>
              <w:pStyle w:val="39"/>
              <w:suppressLineNumbers w:val="0"/>
              <w:spacing w:before="0" w:beforeAutospacing="0" w:afterAutospacing="0"/>
              <w:ind w:left="0" w:right="0"/>
              <w:rPr>
                <w:rFonts w:hint="default"/>
                <w:highlight w:val="cyan"/>
              </w:rPr>
            </w:pPr>
            <w:r>
              <w:rPr>
                <w:rFonts w:hint="default"/>
                <w:color w:val="000000"/>
                <w:szCs w:val="18"/>
              </w:rPr>
              <w:t>Uniform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noWrap w:val="0"/>
            <w:vAlign w:val="top"/>
          </w:tcPr>
          <w:p>
            <w:pPr>
              <w:pStyle w:val="40"/>
              <w:suppressLineNumbers w:val="0"/>
              <w:spacing w:before="0" w:beforeAutospacing="0" w:afterAutospacing="0"/>
              <w:ind w:left="0" w:right="0"/>
              <w:rPr>
                <w:rFonts w:hint="default"/>
              </w:rPr>
            </w:pPr>
            <w:r>
              <w:rPr>
                <w:rFonts w:hint="default"/>
              </w:rPr>
              <w:t>Evaluation metrics</w:t>
            </w:r>
          </w:p>
        </w:tc>
        <w:tc>
          <w:tcPr>
            <w:tcW w:w="1729" w:type="pct"/>
            <w:noWrap w:val="0"/>
            <w:vAlign w:val="top"/>
          </w:tcPr>
          <w:p>
            <w:pPr>
              <w:pStyle w:val="39"/>
              <w:suppressLineNumbers w:val="0"/>
              <w:spacing w:before="0" w:beforeAutospacing="0" w:afterAutospacing="0"/>
              <w:ind w:left="0" w:right="0"/>
              <w:rPr>
                <w:rFonts w:hint="default"/>
              </w:rPr>
            </w:pPr>
            <w:r>
              <w:rPr>
                <w:rFonts w:hint="default"/>
              </w:rPr>
              <w:t>SINR vs ACS (as victim)</w:t>
            </w:r>
          </w:p>
        </w:tc>
        <w:tc>
          <w:tcPr>
            <w:tcW w:w="1729" w:type="pct"/>
            <w:noWrap w:val="0"/>
            <w:vAlign w:val="top"/>
          </w:tcPr>
          <w:p>
            <w:pPr>
              <w:pStyle w:val="39"/>
              <w:suppressLineNumbers w:val="0"/>
              <w:spacing w:before="0" w:beforeAutospacing="0" w:afterAutospacing="0"/>
              <w:ind w:left="0" w:right="0"/>
              <w:rPr>
                <w:rFonts w:hint="default"/>
                <w:color w:val="000000"/>
                <w:szCs w:val="18"/>
              </w:rPr>
            </w:pPr>
            <w:r>
              <w:rPr>
                <w:rFonts w:hint="default"/>
                <w:color w:val="000000"/>
                <w:szCs w:val="18"/>
              </w:rPr>
              <w:t xml:space="preserve">See Section 6.2.8 </w:t>
            </w:r>
          </w:p>
          <w:p>
            <w:pPr>
              <w:pStyle w:val="39"/>
              <w:suppressLineNumbers w:val="0"/>
              <w:spacing w:before="0" w:beforeAutospacing="0" w:afterAutospacing="0"/>
              <w:ind w:left="0" w:right="0"/>
              <w:rPr>
                <w:rFonts w:hint="default"/>
                <w:highlight w:val="cyan"/>
              </w:rPr>
            </w:pPr>
            <w:r>
              <w:rPr>
                <w:rFonts w:hint="default"/>
                <w:color w:val="000000"/>
                <w:szCs w:val="18"/>
              </w:rPr>
              <w:t>Throughtput or SNR loss criteria</w:t>
            </w:r>
          </w:p>
        </w:tc>
      </w:tr>
    </w:tbl>
    <w:p>
      <w:pPr>
        <w:pStyle w:val="58"/>
        <w:keepNext/>
        <w:keepLines/>
        <w:pageBreakBefore w:val="0"/>
        <w:widowControl/>
        <w:numPr>
          <w:ilvl w:val="0"/>
          <w:numId w:val="0"/>
        </w:numPr>
        <w:pBdr>
          <w:top w:val="none" w:color="auto" w:sz="0" w:space="1"/>
          <w:left w:val="none" w:color="auto" w:sz="0" w:space="0"/>
          <w:bottom w:val="none" w:color="auto" w:sz="0" w:space="0"/>
          <w:right w:val="none" w:color="auto" w:sz="0" w:space="0"/>
          <w:between w:val="none" w:color="auto" w:sz="0" w:space="0"/>
        </w:pBd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eastAsia="Times New Roman"/>
          <w:sz w:val="28"/>
          <w:szCs w:val="28"/>
        </w:rPr>
      </w:pPr>
      <w:r>
        <w:rPr>
          <w:rFonts w:hint="eastAsia"/>
          <w:sz w:val="28"/>
          <w:szCs w:val="28"/>
          <w:lang w:val="en-US" w:eastAsia="zh-CN"/>
        </w:rPr>
        <w:t xml:space="preserve">2.3. RF requirements </w:t>
      </w:r>
    </w:p>
    <w:p>
      <w:pPr>
        <w:numPr>
          <w:ilvl w:val="0"/>
          <w:numId w:val="0"/>
        </w:numPr>
        <w:tabs>
          <w:tab w:val="left" w:pos="2127"/>
        </w:tabs>
        <w:spacing w:after="0"/>
        <w:jc w:val="both"/>
        <w:rPr>
          <w:rFonts w:hint="eastAsia"/>
          <w:lang w:val="en-US" w:eastAsia="zh-CN"/>
        </w:rPr>
      </w:pPr>
      <w:r>
        <w:rPr>
          <w:rFonts w:hint="eastAsia"/>
          <w:lang w:val="en-US" w:eastAsia="zh-CN"/>
        </w:rPr>
        <w:t>Based on the above consideration, at least three would be following nodes to be specified with the corresponding RF requirements:</w:t>
      </w:r>
    </w:p>
    <w:p>
      <w:pPr>
        <w:numPr>
          <w:ilvl w:val="0"/>
          <w:numId w:val="3"/>
        </w:numPr>
        <w:tabs>
          <w:tab w:val="left" w:pos="2127"/>
        </w:tabs>
        <w:spacing w:after="0"/>
        <w:jc w:val="both"/>
        <w:rPr>
          <w:rFonts w:hint="default"/>
          <w:lang w:val="en-US" w:eastAsia="zh-CN"/>
        </w:rPr>
      </w:pPr>
      <w:r>
        <w:rPr>
          <w:rFonts w:hint="eastAsia"/>
          <w:lang w:val="en-US" w:eastAsia="zh-CN"/>
        </w:rPr>
        <w:t>A-IoT BS</w:t>
      </w:r>
    </w:p>
    <w:p>
      <w:pPr>
        <w:numPr>
          <w:ilvl w:val="0"/>
          <w:numId w:val="0"/>
        </w:numPr>
        <w:tabs>
          <w:tab w:val="left" w:pos="2127"/>
        </w:tabs>
        <w:spacing w:after="0"/>
        <w:jc w:val="both"/>
        <w:rPr>
          <w:rFonts w:hint="eastAsia"/>
          <w:lang w:val="en-US" w:eastAsia="zh-CN"/>
        </w:rPr>
      </w:pPr>
      <w:r>
        <w:rPr>
          <w:rFonts w:hint="eastAsia"/>
          <w:lang w:val="en-US" w:eastAsia="zh-CN"/>
        </w:rPr>
        <w:t>-  A-IoT BS is supposed to transmit the inventory command to A-IoT device in topology 1 and also decoding the backscattering signal reflected back from A-IoT device. To specify the Tx and Rx requirement for A-IoT BS.</w:t>
      </w:r>
    </w:p>
    <w:p>
      <w:pPr>
        <w:numPr>
          <w:ilvl w:val="0"/>
          <w:numId w:val="0"/>
        </w:numPr>
        <w:tabs>
          <w:tab w:val="left" w:pos="2127"/>
        </w:tabs>
        <w:spacing w:after="0"/>
        <w:jc w:val="both"/>
        <w:rPr>
          <w:rFonts w:hint="eastAsia"/>
          <w:lang w:val="en-US" w:eastAsia="zh-CN"/>
        </w:rPr>
      </w:pPr>
      <w:r>
        <w:rPr>
          <w:rFonts w:hint="eastAsia"/>
          <w:lang w:val="en-US" w:eastAsia="zh-CN"/>
        </w:rPr>
        <w:t xml:space="preserve">For the standalone A-IoT BS, then the new Tx and Rx requirement should be specified accordingly. </w:t>
      </w:r>
    </w:p>
    <w:p>
      <w:pPr>
        <w:numPr>
          <w:ilvl w:val="0"/>
          <w:numId w:val="0"/>
        </w:numPr>
        <w:tabs>
          <w:tab w:val="left" w:pos="2127"/>
        </w:tabs>
        <w:spacing w:after="0"/>
        <w:jc w:val="both"/>
        <w:rPr>
          <w:rFonts w:hint="eastAsia"/>
          <w:lang w:val="en-US" w:eastAsia="zh-CN"/>
        </w:rPr>
      </w:pPr>
      <w:r>
        <w:rPr>
          <w:rFonts w:hint="eastAsia"/>
          <w:lang w:val="en-US" w:eastAsia="zh-CN"/>
        </w:rPr>
        <w:t>For in-band/guard band A-IoT UE, this needs more discussions in the SI phase. For the legacy LTE in-band/guard band NB-IoT operation in Rel-14 or the legacy NR in-band NB-IoT operation in Rel-16, the out of band emission requirements of transmitter, (e.g. ACLR, UEM, transmitter spurious emission, Tx intermodulation requirement) are still kept the same as legacy RF requirements. It</w:t>
      </w:r>
      <w:r>
        <w:rPr>
          <w:rFonts w:hint="default"/>
          <w:lang w:val="en-US" w:eastAsia="zh-CN"/>
        </w:rPr>
        <w:t>’</w:t>
      </w:r>
      <w:r>
        <w:rPr>
          <w:rFonts w:hint="eastAsia"/>
          <w:lang w:val="en-US" w:eastAsia="zh-CN"/>
        </w:rPr>
        <w:t xml:space="preserve">s also the same story for receiver RF requirements e.g. the ACS/IBB, OOBB, NBB Rx IMD or general Rx IMD requirement are still kept the same. However for in-band/guard band NB-IoT BS might be equipped with individual RF hardware in addition to the RF hardware for eMBB service due to the potential high power boosting requirements etc. </w:t>
      </w:r>
    </w:p>
    <w:p>
      <w:pPr>
        <w:numPr>
          <w:ilvl w:val="0"/>
          <w:numId w:val="0"/>
        </w:numPr>
        <w:tabs>
          <w:tab w:val="left" w:pos="2127"/>
        </w:tabs>
        <w:spacing w:after="0"/>
        <w:jc w:val="both"/>
        <w:rPr>
          <w:rFonts w:hint="eastAsia"/>
          <w:lang w:val="en-US" w:eastAsia="zh-CN"/>
        </w:rPr>
      </w:pPr>
      <w:r>
        <w:rPr>
          <w:rFonts w:hint="eastAsia"/>
          <w:b/>
          <w:bCs/>
          <w:i w:val="0"/>
          <w:iCs w:val="0"/>
          <w:lang w:val="en-US" w:eastAsia="zh-CN"/>
        </w:rPr>
        <w:t>Proposal 6</w:t>
      </w:r>
      <w:r>
        <w:rPr>
          <w:rFonts w:hint="eastAsia"/>
          <w:lang w:val="en-US" w:eastAsia="zh-CN"/>
        </w:rPr>
        <w:t xml:space="preserve">: specify the RF requirement (e.g. Tx and Rx RF requirements) for standalone A-IoT BS and follow the legacy BS RF requirement framework; </w:t>
      </w:r>
    </w:p>
    <w:p>
      <w:pPr>
        <w:numPr>
          <w:ilvl w:val="0"/>
          <w:numId w:val="0"/>
        </w:numPr>
        <w:tabs>
          <w:tab w:val="left" w:pos="2127"/>
        </w:tabs>
        <w:spacing w:after="0"/>
        <w:jc w:val="both"/>
        <w:rPr>
          <w:rFonts w:hint="default"/>
          <w:lang w:val="en-US" w:eastAsia="zh-CN"/>
        </w:rPr>
      </w:pPr>
      <w:r>
        <w:rPr>
          <w:rFonts w:hint="eastAsia"/>
          <w:b/>
          <w:bCs/>
          <w:i w:val="0"/>
          <w:iCs w:val="0"/>
          <w:lang w:val="en-US" w:eastAsia="zh-CN"/>
        </w:rPr>
        <w:t>Proposal 7</w:t>
      </w:r>
      <w:r>
        <w:rPr>
          <w:rFonts w:hint="eastAsia"/>
          <w:lang w:val="en-US" w:eastAsia="zh-CN"/>
        </w:rPr>
        <w:t xml:space="preserve">: discuss the applicability of the existing RF requirement for in-band /guard band A-IoT BS and potential new RF requirements for A-IoT BS e.g. power boosting, EVM requirements for OOK signal etc. </w:t>
      </w:r>
    </w:p>
    <w:p>
      <w:pPr>
        <w:numPr>
          <w:ilvl w:val="0"/>
          <w:numId w:val="0"/>
        </w:numPr>
        <w:tabs>
          <w:tab w:val="left" w:pos="2127"/>
        </w:tabs>
        <w:spacing w:after="0"/>
        <w:jc w:val="both"/>
        <w:rPr>
          <w:rFonts w:hint="default"/>
          <w:lang w:val="en-US" w:eastAsia="zh-CN"/>
        </w:rPr>
      </w:pPr>
    </w:p>
    <w:p>
      <w:pPr>
        <w:numPr>
          <w:ilvl w:val="0"/>
          <w:numId w:val="3"/>
        </w:numPr>
        <w:tabs>
          <w:tab w:val="left" w:pos="2127"/>
        </w:tabs>
        <w:spacing w:after="0"/>
        <w:jc w:val="both"/>
        <w:rPr>
          <w:rFonts w:hint="default"/>
          <w:lang w:val="en-US" w:eastAsia="zh-CN"/>
        </w:rPr>
      </w:pPr>
      <w:r>
        <w:rPr>
          <w:rFonts w:hint="eastAsia"/>
          <w:lang w:val="en-US" w:eastAsia="zh-CN"/>
        </w:rPr>
        <w:t>A-IoT Device</w:t>
      </w:r>
    </w:p>
    <w:p>
      <w:pPr>
        <w:numPr>
          <w:ilvl w:val="0"/>
          <w:numId w:val="0"/>
        </w:numPr>
        <w:tabs>
          <w:tab w:val="left" w:pos="2127"/>
        </w:tabs>
        <w:spacing w:after="0"/>
        <w:jc w:val="both"/>
        <w:rPr>
          <w:rFonts w:hint="default"/>
          <w:lang w:val="en-US" w:eastAsia="zh-CN"/>
        </w:rPr>
      </w:pPr>
      <w:r>
        <w:rPr>
          <w:rFonts w:hint="eastAsia"/>
          <w:lang w:val="en-US" w:eastAsia="zh-CN"/>
        </w:rPr>
        <w:t xml:space="preserve">-  A-IoT device is supposed to decode the inventory command from either A-IoT BS from topology 1 or intermediate UE in the topology 2 and also backscatter the signal with the stimulus signal as CW signals. In addition, according to the latest RAN1 agreement, there would be three types of A-IoT devices with different capabilities and also some different RF architecture assumptions.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suppressLineNumbers w:val="0"/>
              <w:spacing w:before="0" w:beforeAutospacing="0" w:afterAutospacing="0"/>
              <w:ind w:left="0" w:right="0"/>
              <w:rPr>
                <w:rFonts w:hint="default" w:ascii="Times New Roman" w:hAnsi="Times New Roman" w:cs="Times New Roman"/>
              </w:rPr>
            </w:pPr>
            <w:r>
              <w:rPr>
                <w:rFonts w:hint="default" w:ascii="Times New Roman" w:hAnsi="Times New Roman" w:cs="Times New Roman"/>
                <w:bCs/>
                <w:highlight w:val="green"/>
              </w:rPr>
              <w:t>Agreement</w:t>
            </w:r>
          </w:p>
          <w:p>
            <w:pPr>
              <w:keepNext w:val="0"/>
              <w:keepLines w:val="0"/>
              <w:suppressLineNumbers w:val="0"/>
              <w:spacing w:before="0" w:beforeAutospacing="0" w:afterAutospacing="0"/>
              <w:ind w:left="0" w:right="0"/>
              <w:rPr>
                <w:rFonts w:hint="default" w:ascii="Times New Roman" w:hAnsi="Times New Roman" w:cs="Times New Roman"/>
              </w:rPr>
            </w:pPr>
            <w:r>
              <w:rPr>
                <w:rFonts w:hint="default" w:ascii="Times New Roman" w:hAnsi="Times New Roman" w:cs="Times New Roman"/>
              </w:rPr>
              <w:t>For the purpose of the study, RAN1 uses the following terminologies:</w:t>
            </w:r>
          </w:p>
          <w:p>
            <w:pPr>
              <w:keepNext w:val="0"/>
              <w:keepLines w:val="0"/>
              <w:widowControl w:val="0"/>
              <w:numPr>
                <w:ilvl w:val="0"/>
                <w:numId w:val="4"/>
              </w:numPr>
              <w:suppressLineNumbers w:val="0"/>
              <w:autoSpaceDE w:val="0"/>
              <w:autoSpaceDN w:val="0"/>
              <w:adjustRightInd w:val="0"/>
              <w:spacing w:before="0" w:beforeAutospacing="0" w:afterAutospacing="0"/>
              <w:ind w:left="714" w:right="0" w:hanging="357"/>
              <w:jc w:val="both"/>
              <w:rPr>
                <w:rFonts w:hint="default" w:ascii="Times New Roman" w:hAnsi="Times New Roman" w:cs="Times New Roman"/>
              </w:rPr>
            </w:pPr>
            <w:r>
              <w:rPr>
                <w:rFonts w:hint="default" w:ascii="Times New Roman" w:hAnsi="Times New Roman" w:cs="Times New Roman"/>
                <w:b/>
                <w:bCs/>
              </w:rPr>
              <w:t>Device 1</w:t>
            </w:r>
            <w:r>
              <w:rPr>
                <w:rFonts w:hint="default" w:ascii="Times New Roman" w:hAnsi="Times New Roman" w:cs="Times New Roman"/>
              </w:rPr>
              <w:t>: ~1 µW peak power consumption, has energy storage, initial sampling frequency offset (SFO) up to 10</w:t>
            </w:r>
            <w:r>
              <w:rPr>
                <w:rFonts w:hint="default" w:ascii="Times New Roman" w:hAnsi="Times New Roman" w:cs="Times New Roman"/>
                <w:vertAlign w:val="superscript"/>
              </w:rPr>
              <w:t>X</w:t>
            </w:r>
            <w:r>
              <w:rPr>
                <w:rFonts w:hint="default" w:ascii="Times New Roman" w:hAnsi="Times New Roman" w:cs="Times New Roman"/>
              </w:rPr>
              <w:t xml:space="preserve"> ppm, </w:t>
            </w:r>
            <w:r>
              <w:rPr>
                <w:rFonts w:hint="default" w:ascii="Times New Roman" w:hAnsi="Times New Roman" w:cs="Times New Roman"/>
                <w:color w:val="FF0000"/>
              </w:rPr>
              <w:t>neither DL nor UL amplification in the device</w:t>
            </w:r>
            <w:r>
              <w:rPr>
                <w:rFonts w:hint="default" w:ascii="Times New Roman" w:hAnsi="Times New Roman" w:cs="Times New Roman"/>
              </w:rPr>
              <w:t>. The device’s UL transmission is backscattered on a carrier wave provided externally.</w:t>
            </w:r>
          </w:p>
          <w:p>
            <w:pPr>
              <w:keepNext w:val="0"/>
              <w:keepLines w:val="0"/>
              <w:widowControl w:val="0"/>
              <w:numPr>
                <w:ilvl w:val="0"/>
                <w:numId w:val="4"/>
              </w:numPr>
              <w:suppressLineNumbers w:val="0"/>
              <w:autoSpaceDE w:val="0"/>
              <w:autoSpaceDN w:val="0"/>
              <w:adjustRightInd w:val="0"/>
              <w:spacing w:before="0" w:beforeAutospacing="0" w:afterAutospacing="0"/>
              <w:ind w:left="714" w:right="0" w:hanging="357"/>
              <w:jc w:val="both"/>
              <w:rPr>
                <w:rFonts w:hint="default" w:ascii="Times New Roman" w:hAnsi="Times New Roman" w:cs="Times New Roman"/>
              </w:rPr>
            </w:pPr>
            <w:r>
              <w:rPr>
                <w:rFonts w:hint="default" w:ascii="Times New Roman" w:hAnsi="Times New Roman" w:cs="Times New Roman"/>
                <w:b/>
                <w:bCs/>
              </w:rPr>
              <w:t>Device 2a</w:t>
            </w:r>
            <w:r>
              <w:rPr>
                <w:rFonts w:hint="default" w:ascii="Times New Roman" w:hAnsi="Times New Roman" w:cs="Times New Roman"/>
              </w:rPr>
              <w:t>: ≤ a few hundred µW peak power consumption, has energy storage, initial sampling frequency offset (SFO) up to 10</w:t>
            </w:r>
            <w:r>
              <w:rPr>
                <w:rFonts w:hint="default" w:ascii="Times New Roman" w:hAnsi="Times New Roman" w:cs="Times New Roman"/>
                <w:vertAlign w:val="superscript"/>
              </w:rPr>
              <w:t>X</w:t>
            </w:r>
            <w:r>
              <w:rPr>
                <w:rFonts w:hint="default" w:ascii="Times New Roman" w:hAnsi="Times New Roman" w:cs="Times New Roman"/>
              </w:rPr>
              <w:t xml:space="preserve"> ppm, </w:t>
            </w:r>
            <w:r>
              <w:rPr>
                <w:rFonts w:hint="default" w:ascii="Times New Roman" w:hAnsi="Times New Roman" w:cs="Times New Roman"/>
                <w:color w:val="FF0000"/>
              </w:rPr>
              <w:t>both DL and/or UL amplification in the device.</w:t>
            </w:r>
            <w:r>
              <w:rPr>
                <w:rFonts w:hint="default" w:ascii="Times New Roman" w:hAnsi="Times New Roman" w:cs="Times New Roman"/>
              </w:rPr>
              <w:t xml:space="preserve"> The device’s UL transmission is </w:t>
            </w:r>
            <w:r>
              <w:rPr>
                <w:rFonts w:hint="default" w:ascii="Times New Roman" w:hAnsi="Times New Roman" w:cs="Times New Roman"/>
                <w:color w:val="FF0000"/>
              </w:rPr>
              <w:t>backscattered on a carrier wave</w:t>
            </w:r>
            <w:r>
              <w:rPr>
                <w:rFonts w:hint="default" w:ascii="Times New Roman" w:hAnsi="Times New Roman" w:cs="Times New Roman"/>
              </w:rPr>
              <w:t xml:space="preserve"> provided externally.</w:t>
            </w:r>
          </w:p>
          <w:p>
            <w:pPr>
              <w:keepNext w:val="0"/>
              <w:keepLines w:val="0"/>
              <w:widowControl w:val="0"/>
              <w:numPr>
                <w:ilvl w:val="0"/>
                <w:numId w:val="4"/>
              </w:numPr>
              <w:suppressLineNumbers w:val="0"/>
              <w:autoSpaceDE w:val="0"/>
              <w:autoSpaceDN w:val="0"/>
              <w:adjustRightInd w:val="0"/>
              <w:spacing w:before="0" w:beforeAutospacing="0" w:afterAutospacing="0"/>
              <w:ind w:left="714" w:right="0" w:hanging="357"/>
              <w:jc w:val="both"/>
              <w:rPr>
                <w:rFonts w:hint="default" w:ascii="Times New Roman" w:hAnsi="Times New Roman" w:cs="Times New Roman"/>
                <w:vertAlign w:val="baseline"/>
                <w:lang w:val="en-US"/>
              </w:rPr>
            </w:pPr>
            <w:r>
              <w:rPr>
                <w:rFonts w:hint="default" w:ascii="Times New Roman" w:hAnsi="Times New Roman" w:cs="Times New Roman"/>
                <w:b/>
                <w:bCs/>
              </w:rPr>
              <w:t>Device 2b</w:t>
            </w:r>
            <w:r>
              <w:rPr>
                <w:rFonts w:hint="default" w:ascii="Times New Roman" w:hAnsi="Times New Roman" w:cs="Times New Roman"/>
              </w:rPr>
              <w:t>: ≤ a few hundred µW peak power consumption, has energy storage, initial sampling frequency offset (SFO) up to 10</w:t>
            </w:r>
            <w:r>
              <w:rPr>
                <w:rFonts w:hint="default" w:ascii="Times New Roman" w:hAnsi="Times New Roman" w:cs="Times New Roman"/>
                <w:vertAlign w:val="superscript"/>
              </w:rPr>
              <w:t>X</w:t>
            </w:r>
            <w:r>
              <w:rPr>
                <w:rFonts w:hint="default" w:ascii="Times New Roman" w:hAnsi="Times New Roman" w:cs="Times New Roman"/>
              </w:rPr>
              <w:t xml:space="preserve"> ppm, </w:t>
            </w:r>
            <w:r>
              <w:rPr>
                <w:rFonts w:hint="default" w:ascii="Times New Roman" w:hAnsi="Times New Roman" w:cs="Times New Roman"/>
                <w:color w:val="FF0000"/>
              </w:rPr>
              <w:t>both DL and/or UL amplification in the device.</w:t>
            </w:r>
            <w:r>
              <w:rPr>
                <w:rFonts w:hint="default" w:ascii="Times New Roman" w:hAnsi="Times New Roman" w:cs="Times New Roman"/>
              </w:rPr>
              <w:t xml:space="preserve"> The device’s </w:t>
            </w:r>
            <w:r>
              <w:rPr>
                <w:rFonts w:hint="default" w:ascii="Times New Roman" w:hAnsi="Times New Roman" w:cs="Times New Roman"/>
                <w:color w:val="FF0000"/>
              </w:rPr>
              <w:t>UL transmission is generated internally</w:t>
            </w:r>
            <w:r>
              <w:rPr>
                <w:rFonts w:hint="default" w:ascii="Times New Roman" w:hAnsi="Times New Roman" w:cs="Times New Roman"/>
              </w:rPr>
              <w:t xml:space="preserve"> by the device.</w:t>
            </w:r>
          </w:p>
        </w:tc>
      </w:tr>
    </w:tbl>
    <w:p>
      <w:pPr>
        <w:numPr>
          <w:ilvl w:val="0"/>
          <w:numId w:val="0"/>
        </w:numPr>
        <w:tabs>
          <w:tab w:val="left" w:pos="2127"/>
        </w:tabs>
        <w:spacing w:after="0"/>
        <w:jc w:val="both"/>
        <w:rPr>
          <w:rFonts w:hint="eastAsia"/>
          <w:lang w:val="en-US" w:eastAsia="zh-CN"/>
        </w:rPr>
      </w:pPr>
      <w:r>
        <w:rPr>
          <w:rFonts w:hint="eastAsia"/>
          <w:lang w:val="en-US" w:eastAsia="zh-CN"/>
        </w:rPr>
        <w:t>Based on the above considerations, we make the following proposals:</w:t>
      </w:r>
    </w:p>
    <w:p>
      <w:pPr>
        <w:numPr>
          <w:ilvl w:val="0"/>
          <w:numId w:val="0"/>
        </w:numPr>
        <w:tabs>
          <w:tab w:val="left" w:pos="2127"/>
        </w:tabs>
        <w:spacing w:after="0"/>
        <w:jc w:val="both"/>
        <w:rPr>
          <w:rFonts w:hint="eastAsia"/>
          <w:lang w:val="en-US" w:eastAsia="zh-CN"/>
        </w:rPr>
      </w:pPr>
      <w:r>
        <w:rPr>
          <w:rFonts w:hint="eastAsia"/>
          <w:b/>
          <w:bCs/>
          <w:lang w:val="en-US" w:eastAsia="zh-CN"/>
        </w:rPr>
        <w:t>Proposal 8</w:t>
      </w:r>
      <w:r>
        <w:rPr>
          <w:rFonts w:hint="eastAsia"/>
          <w:lang w:val="en-US" w:eastAsia="zh-CN"/>
        </w:rPr>
        <w:t xml:space="preserve">: specify different sets of RF requirement for Ambient IoT Device 1, Device 2a and Device 2b; </w:t>
      </w:r>
    </w:p>
    <w:p>
      <w:pPr>
        <w:numPr>
          <w:ilvl w:val="0"/>
          <w:numId w:val="0"/>
        </w:numPr>
        <w:tabs>
          <w:tab w:val="left" w:pos="2127"/>
        </w:tabs>
        <w:spacing w:after="0"/>
        <w:jc w:val="both"/>
        <w:rPr>
          <w:rFonts w:hint="eastAsia"/>
          <w:lang w:val="en-US" w:eastAsia="zh-CN"/>
        </w:rPr>
      </w:pPr>
      <w:r>
        <w:rPr>
          <w:rFonts w:hint="eastAsia"/>
          <w:b/>
          <w:bCs/>
          <w:lang w:val="en-US" w:eastAsia="zh-CN"/>
        </w:rPr>
        <w:t>Proposal 9</w:t>
      </w:r>
      <w:r>
        <w:rPr>
          <w:rFonts w:hint="eastAsia"/>
          <w:lang w:val="en-US" w:eastAsia="zh-CN"/>
        </w:rPr>
        <w:t>: specify the RF requirement (e.g. Tx and Rx, ACS, ASCS etc requirements) for A-IoT device;</w:t>
      </w:r>
    </w:p>
    <w:p>
      <w:pPr>
        <w:numPr>
          <w:ilvl w:val="0"/>
          <w:numId w:val="0"/>
        </w:numPr>
        <w:tabs>
          <w:tab w:val="left" w:pos="2127"/>
        </w:tabs>
        <w:spacing w:after="0"/>
        <w:jc w:val="both"/>
        <w:rPr>
          <w:rFonts w:hint="eastAsia"/>
          <w:lang w:val="en-US" w:eastAsia="zh-CN"/>
        </w:rPr>
      </w:pPr>
      <w:r>
        <w:rPr>
          <w:rFonts w:hint="eastAsia"/>
          <w:b/>
          <w:bCs/>
          <w:lang w:val="en-US" w:eastAsia="zh-CN"/>
        </w:rPr>
        <w:t>Proposal 10</w:t>
      </w:r>
      <w:r>
        <w:rPr>
          <w:rFonts w:hint="eastAsia"/>
          <w:lang w:val="en-US" w:eastAsia="zh-CN"/>
        </w:rPr>
        <w:t>: treat the reception of CW signals as part of Rx requirements for Ambient IoT Device 1, Device 2a.</w:t>
      </w:r>
    </w:p>
    <w:p>
      <w:pPr>
        <w:numPr>
          <w:ilvl w:val="0"/>
          <w:numId w:val="3"/>
        </w:numPr>
        <w:tabs>
          <w:tab w:val="left" w:pos="2127"/>
        </w:tabs>
        <w:spacing w:after="0"/>
        <w:jc w:val="both"/>
        <w:rPr>
          <w:rFonts w:hint="default"/>
          <w:lang w:val="en-US" w:eastAsia="zh-CN"/>
        </w:rPr>
      </w:pPr>
      <w:r>
        <w:rPr>
          <w:rFonts w:hint="eastAsia"/>
          <w:lang w:val="en-US" w:eastAsia="zh-CN"/>
        </w:rPr>
        <w:t>Intermediate UE</w:t>
      </w:r>
    </w:p>
    <w:p>
      <w:pPr>
        <w:numPr>
          <w:ilvl w:val="0"/>
          <w:numId w:val="0"/>
        </w:numPr>
        <w:tabs>
          <w:tab w:val="left" w:pos="2127"/>
        </w:tabs>
        <w:spacing w:after="0"/>
        <w:jc w:val="both"/>
        <w:rPr>
          <w:rFonts w:hint="eastAsia"/>
          <w:lang w:val="en-US" w:eastAsia="zh-CN"/>
        </w:rPr>
      </w:pPr>
      <w:r>
        <w:rPr>
          <w:rFonts w:hint="eastAsia"/>
          <w:lang w:val="en-US" w:eastAsia="zh-CN"/>
        </w:rPr>
        <w:t>-  In the topology 2, intermediate node is used to transmit the inventory command towards the A-IoT device and also decoding the backscattering signal from the A-IoT UE. Similar as A-IoT BS, we also need to consider the Tx/Rx requirement for intermediate UE;</w:t>
      </w:r>
    </w:p>
    <w:p>
      <w:pPr>
        <w:numPr>
          <w:ilvl w:val="0"/>
          <w:numId w:val="0"/>
        </w:numPr>
        <w:tabs>
          <w:tab w:val="left" w:pos="2127"/>
        </w:tabs>
        <w:spacing w:after="0"/>
        <w:jc w:val="both"/>
        <w:rPr>
          <w:rFonts w:hint="default"/>
          <w:lang w:val="en-US" w:eastAsia="zh-CN"/>
        </w:rPr>
      </w:pPr>
      <w:r>
        <w:rPr>
          <w:rFonts w:hint="eastAsia"/>
          <w:b/>
          <w:bCs/>
          <w:lang w:val="en-US" w:eastAsia="zh-CN"/>
        </w:rPr>
        <w:t>Proposal 11</w:t>
      </w:r>
      <w:r>
        <w:rPr>
          <w:rFonts w:hint="eastAsia"/>
          <w:lang w:val="en-US" w:eastAsia="zh-CN"/>
        </w:rPr>
        <w:t>: specify the Tx and Rx requirement for intermediate UE in addition to RF requirements for the legacy Uu link.</w:t>
      </w:r>
    </w:p>
    <w:p>
      <w:pPr>
        <w:numPr>
          <w:ilvl w:val="0"/>
          <w:numId w:val="3"/>
        </w:numPr>
        <w:tabs>
          <w:tab w:val="left" w:pos="2127"/>
        </w:tabs>
        <w:spacing w:after="0"/>
        <w:jc w:val="both"/>
        <w:rPr>
          <w:rFonts w:hint="default"/>
          <w:lang w:val="en-US" w:eastAsia="zh-CN"/>
        </w:rPr>
      </w:pPr>
      <w:r>
        <w:rPr>
          <w:rFonts w:hint="eastAsia"/>
          <w:lang w:val="en-US" w:eastAsia="zh-CN"/>
        </w:rPr>
        <w:t>CW source signal node</w:t>
      </w:r>
    </w:p>
    <w:p>
      <w:pPr>
        <w:numPr>
          <w:ilvl w:val="0"/>
          <w:numId w:val="0"/>
        </w:numPr>
        <w:tabs>
          <w:tab w:val="left" w:pos="2127"/>
        </w:tabs>
        <w:spacing w:after="0"/>
        <w:jc w:val="both"/>
        <w:rPr>
          <w:rFonts w:hint="eastAsia"/>
          <w:lang w:val="en-US" w:eastAsia="zh-CN"/>
        </w:rPr>
      </w:pPr>
      <w:r>
        <w:rPr>
          <w:rFonts w:hint="eastAsia"/>
          <w:lang w:val="en-US" w:eastAsia="zh-CN"/>
        </w:rPr>
        <w:t>Based on the latest discussion in RAN1, CW could be transmitted within the topology and also outside of topology, in other words, RF requirement could be defined for A-IoT BS transmitting CW signals or intermediate UE transmitting CW signals and RF requirement could be defined for Node transmitting CW signals outside of topology.</w:t>
      </w:r>
    </w:p>
    <w:p>
      <w:pPr>
        <w:numPr>
          <w:ilvl w:val="0"/>
          <w:numId w:val="0"/>
        </w:numPr>
        <w:tabs>
          <w:tab w:val="left" w:pos="2127"/>
        </w:tabs>
        <w:spacing w:after="0"/>
        <w:jc w:val="both"/>
        <w:rPr>
          <w:rFonts w:hint="eastAsia"/>
          <w:lang w:val="en-US" w:eastAsia="zh-CN"/>
        </w:rPr>
      </w:pPr>
      <w:r>
        <w:rPr>
          <w:rFonts w:hint="eastAsia"/>
          <w:b/>
          <w:bCs/>
          <w:lang w:val="en-US" w:eastAsia="zh-CN"/>
        </w:rPr>
        <w:t>Proposal 12</w:t>
      </w:r>
      <w:r>
        <w:rPr>
          <w:rFonts w:hint="eastAsia"/>
          <w:lang w:val="en-US" w:eastAsia="zh-CN"/>
        </w:rPr>
        <w:t>: specify RF requirement for A-IoT BS transmitting CW signals or intermediate UE transmitting CW signals within topology and specify RF requirement for CW source Node transmitting CW signals outside of topology.</w:t>
      </w:r>
    </w:p>
    <w:bookmarkEnd w:id="1"/>
    <w:bookmarkEnd w:id="2"/>
    <w:bookmarkEnd w:id="3"/>
    <w:bookmarkEnd w:id="4"/>
    <w:p>
      <w:pPr>
        <w:pStyle w:val="58"/>
        <w:tabs>
          <w:tab w:val="left" w:pos="567"/>
          <w:tab w:val="clear" w:pos="1985"/>
        </w:tabs>
        <w:adjustRightInd w:val="0"/>
        <w:ind w:left="510" w:hanging="510"/>
      </w:pPr>
      <w:r>
        <w:t>Conclusions</w:t>
      </w:r>
    </w:p>
    <w:p>
      <w:pPr>
        <w:jc w:val="left"/>
        <w:rPr>
          <w:rFonts w:hint="eastAsia" w:eastAsiaTheme="minorEastAsia"/>
          <w:lang w:val="en-US" w:eastAsia="zh-CN"/>
        </w:rPr>
      </w:pPr>
      <w:r>
        <w:rPr>
          <w:rFonts w:hint="eastAsia" w:eastAsiaTheme="minorEastAsia"/>
        </w:rPr>
        <w:t>In this contribution,</w:t>
      </w:r>
      <w:r>
        <w:rPr>
          <w:rFonts w:hint="eastAsia" w:eastAsiaTheme="minorEastAsia"/>
          <w:lang w:val="en-US" w:eastAsia="zh-CN"/>
        </w:rPr>
        <w:t xml:space="preserve"> we shared some initial views on </w:t>
      </w:r>
      <w:r>
        <w:rPr>
          <w:rFonts w:hint="eastAsia"/>
          <w:lang w:val="en-US" w:eastAsia="zh-CN"/>
        </w:rPr>
        <w:t>the coexistence study and RF requirements for A-IoT system</w:t>
      </w:r>
      <w:r>
        <w:rPr>
          <w:rFonts w:hint="eastAsia" w:eastAsiaTheme="minorEastAsia"/>
          <w:lang w:val="en-US" w:eastAsia="zh-CN"/>
        </w:rPr>
        <w:t xml:space="preserve"> and proposals are made as following: </w:t>
      </w:r>
    </w:p>
    <w:p>
      <w:pPr>
        <w:numPr>
          <w:ilvl w:val="0"/>
          <w:numId w:val="0"/>
        </w:numPr>
        <w:tabs>
          <w:tab w:val="left" w:pos="2127"/>
        </w:tabs>
        <w:spacing w:after="0"/>
        <w:jc w:val="both"/>
        <w:rPr>
          <w:rFonts w:hint="default"/>
          <w:color w:val="auto"/>
          <w:lang w:val="en-US" w:eastAsia="zh-CN"/>
        </w:rPr>
      </w:pPr>
      <w:r>
        <w:rPr>
          <w:rFonts w:hint="eastAsia"/>
          <w:b/>
          <w:bCs/>
          <w:color w:val="auto"/>
          <w:lang w:val="en-US" w:eastAsia="zh-CN"/>
        </w:rPr>
        <w:t>Proposal 1</w:t>
      </w:r>
      <w:r>
        <w:rPr>
          <w:rFonts w:hint="eastAsia"/>
          <w:color w:val="auto"/>
          <w:lang w:val="en-US" w:eastAsia="zh-CN"/>
        </w:rPr>
        <w:t>: deprioritize Case 1-1 in the topology 1 considering its impacts on the legacy UE or BS CLI problems at A-IoT BS receiver unless these problems could be well addressed.</w:t>
      </w:r>
    </w:p>
    <w:p>
      <w:pPr>
        <w:numPr>
          <w:ilvl w:val="0"/>
          <w:numId w:val="0"/>
        </w:numPr>
        <w:tabs>
          <w:tab w:val="left" w:pos="2127"/>
        </w:tabs>
        <w:spacing w:after="0"/>
        <w:jc w:val="both"/>
        <w:rPr>
          <w:rFonts w:hint="default"/>
          <w:lang w:val="en-US" w:eastAsia="zh-CN"/>
        </w:rPr>
      </w:pPr>
      <w:r>
        <w:rPr>
          <w:rFonts w:hint="eastAsia"/>
          <w:b/>
          <w:bCs/>
          <w:lang w:val="en-US" w:eastAsia="zh-CN"/>
        </w:rPr>
        <w:t>Proposal 2:</w:t>
      </w:r>
      <w:r>
        <w:rPr>
          <w:rFonts w:hint="eastAsia"/>
          <w:lang w:val="en-US" w:eastAsia="zh-CN"/>
        </w:rPr>
        <w:t xml:space="preserve"> </w:t>
      </w:r>
      <w:r>
        <w:rPr>
          <w:rFonts w:hint="eastAsia"/>
          <w:color w:val="auto"/>
          <w:lang w:val="en-US" w:eastAsia="zh-CN"/>
        </w:rPr>
        <w:t xml:space="preserve">prioritize Case 1-2 in the topology 1 given no impacts on the legacy UE and potential limited BS CLI problems towards the legacy BS receiver. </w:t>
      </w:r>
    </w:p>
    <w:p>
      <w:pPr>
        <w:numPr>
          <w:ilvl w:val="0"/>
          <w:numId w:val="0"/>
        </w:numPr>
        <w:tabs>
          <w:tab w:val="left" w:pos="2127"/>
        </w:tabs>
        <w:spacing w:after="0"/>
        <w:jc w:val="both"/>
      </w:pPr>
      <w:r>
        <w:rPr>
          <w:rFonts w:hint="eastAsia"/>
          <w:b/>
          <w:bCs/>
          <w:lang w:val="en-US" w:eastAsia="zh-CN"/>
        </w:rPr>
        <w:t>Proposal 3:</w:t>
      </w:r>
      <w:r>
        <w:rPr>
          <w:rFonts w:hint="eastAsia"/>
          <w:lang w:val="en-US" w:eastAsia="zh-CN"/>
        </w:rPr>
        <w:t xml:space="preserve"> </w:t>
      </w:r>
      <w:r>
        <w:rPr>
          <w:rFonts w:hint="eastAsia"/>
          <w:color w:val="auto"/>
          <w:lang w:val="en-US" w:eastAsia="zh-CN"/>
        </w:rPr>
        <w:t xml:space="preserve">prioritize Case 1-4 in the topology 1 given no impacts on the legacy UE and potential limited BS CLI problems towards the legacy BS receiver. </w:t>
      </w:r>
    </w:p>
    <w:p>
      <w:pPr>
        <w:numPr>
          <w:ilvl w:val="0"/>
          <w:numId w:val="0"/>
        </w:numPr>
        <w:tabs>
          <w:tab w:val="left" w:pos="2127"/>
        </w:tabs>
        <w:spacing w:after="0"/>
        <w:jc w:val="both"/>
        <w:rPr>
          <w:rFonts w:hint="default"/>
          <w:lang w:val="en-US" w:eastAsia="zh-CN"/>
        </w:rPr>
      </w:pPr>
      <w:r>
        <w:rPr>
          <w:rFonts w:hint="eastAsia"/>
          <w:b/>
          <w:bCs/>
          <w:lang w:val="en-US" w:eastAsia="zh-CN"/>
        </w:rPr>
        <w:t>Proposal 4:</w:t>
      </w:r>
      <w:r>
        <w:rPr>
          <w:rFonts w:hint="eastAsia"/>
          <w:lang w:val="en-US" w:eastAsia="zh-CN"/>
        </w:rPr>
        <w:t xml:space="preserve"> Case 2-2 and Case 2-4 could be prioritized in RAN4 as well if there are strong market demand. </w:t>
      </w:r>
    </w:p>
    <w:p>
      <w:pPr>
        <w:numPr>
          <w:ilvl w:val="0"/>
          <w:numId w:val="0"/>
        </w:numPr>
        <w:tabs>
          <w:tab w:val="left" w:pos="2127"/>
        </w:tabs>
        <w:spacing w:after="0"/>
        <w:jc w:val="both"/>
        <w:rPr>
          <w:rFonts w:hint="eastAsia"/>
          <w:lang w:val="en-US" w:eastAsia="zh-CN"/>
        </w:rPr>
      </w:pPr>
      <w:r>
        <w:rPr>
          <w:rFonts w:hint="eastAsia"/>
          <w:b/>
          <w:bCs/>
          <w:lang w:val="en-US" w:eastAsia="zh-CN"/>
        </w:rPr>
        <w:t>Proposal 5:</w:t>
      </w:r>
      <w:r>
        <w:rPr>
          <w:rFonts w:hint="eastAsia"/>
          <w:lang w:val="en-US" w:eastAsia="zh-CN"/>
        </w:rPr>
        <w:t xml:space="preserve"> consider the coexistence cases as listed in table 1 and table 2 and simulation assumptions in table 3 and 4.</w:t>
      </w:r>
    </w:p>
    <w:p>
      <w:pPr>
        <w:numPr>
          <w:ilvl w:val="0"/>
          <w:numId w:val="0"/>
        </w:numPr>
        <w:tabs>
          <w:tab w:val="left" w:pos="2127"/>
        </w:tabs>
        <w:spacing w:after="0"/>
        <w:jc w:val="both"/>
        <w:rPr>
          <w:rFonts w:hint="eastAsia"/>
          <w:lang w:val="en-US" w:eastAsia="zh-CN"/>
        </w:rPr>
      </w:pPr>
      <w:r>
        <w:rPr>
          <w:rFonts w:hint="eastAsia"/>
          <w:b/>
          <w:bCs/>
          <w:i w:val="0"/>
          <w:iCs w:val="0"/>
          <w:lang w:val="en-US" w:eastAsia="zh-CN"/>
        </w:rPr>
        <w:t>Proposal 6</w:t>
      </w:r>
      <w:r>
        <w:rPr>
          <w:rFonts w:hint="eastAsia"/>
          <w:lang w:val="en-US" w:eastAsia="zh-CN"/>
        </w:rPr>
        <w:t xml:space="preserve">: specify the RF requirement (e.g. Tx and Rx RF requirements) for standalone A-IoT BS and follow the legacy BS RF requirement framework; </w:t>
      </w:r>
    </w:p>
    <w:p>
      <w:pPr>
        <w:numPr>
          <w:ilvl w:val="0"/>
          <w:numId w:val="0"/>
        </w:numPr>
        <w:tabs>
          <w:tab w:val="left" w:pos="2127"/>
        </w:tabs>
        <w:spacing w:after="0"/>
        <w:jc w:val="both"/>
        <w:rPr>
          <w:rFonts w:hint="default"/>
          <w:lang w:val="en-US" w:eastAsia="zh-CN"/>
        </w:rPr>
      </w:pPr>
      <w:r>
        <w:rPr>
          <w:rFonts w:hint="eastAsia"/>
          <w:b/>
          <w:bCs/>
          <w:i w:val="0"/>
          <w:iCs w:val="0"/>
          <w:lang w:val="en-US" w:eastAsia="zh-CN"/>
        </w:rPr>
        <w:t>Proposal 7</w:t>
      </w:r>
      <w:r>
        <w:rPr>
          <w:rFonts w:hint="eastAsia"/>
          <w:lang w:val="en-US" w:eastAsia="zh-CN"/>
        </w:rPr>
        <w:t xml:space="preserve">: discuss the applicability of the existing RF requirement for in-band /guard band A-IoT BS and discuss potential new RF requirements for A-IoT BS e.g. power boosting, EVM requirements for OOK signal etc. </w:t>
      </w:r>
    </w:p>
    <w:p>
      <w:pPr>
        <w:numPr>
          <w:ilvl w:val="0"/>
          <w:numId w:val="0"/>
        </w:numPr>
        <w:tabs>
          <w:tab w:val="left" w:pos="2127"/>
        </w:tabs>
        <w:spacing w:after="0"/>
        <w:jc w:val="both"/>
        <w:rPr>
          <w:rFonts w:hint="eastAsia"/>
          <w:lang w:val="en-US" w:eastAsia="zh-CN"/>
        </w:rPr>
      </w:pPr>
      <w:r>
        <w:rPr>
          <w:rFonts w:hint="eastAsia"/>
          <w:b/>
          <w:bCs/>
          <w:lang w:val="en-US" w:eastAsia="zh-CN"/>
        </w:rPr>
        <w:t>Proposal 8</w:t>
      </w:r>
      <w:r>
        <w:rPr>
          <w:rFonts w:hint="eastAsia"/>
          <w:lang w:val="en-US" w:eastAsia="zh-CN"/>
        </w:rPr>
        <w:t xml:space="preserve">: specify different sets of RF requirement for Ambient IoT Device 1, Device 2a and Device 2b; </w:t>
      </w:r>
    </w:p>
    <w:p>
      <w:pPr>
        <w:numPr>
          <w:ilvl w:val="0"/>
          <w:numId w:val="0"/>
        </w:numPr>
        <w:tabs>
          <w:tab w:val="left" w:pos="2127"/>
        </w:tabs>
        <w:spacing w:after="0"/>
        <w:jc w:val="both"/>
        <w:rPr>
          <w:rFonts w:hint="eastAsia"/>
          <w:lang w:val="en-US" w:eastAsia="zh-CN"/>
        </w:rPr>
      </w:pPr>
      <w:r>
        <w:rPr>
          <w:rFonts w:hint="eastAsia"/>
          <w:b/>
          <w:bCs/>
          <w:lang w:val="en-US" w:eastAsia="zh-CN"/>
        </w:rPr>
        <w:t>Proposal 9</w:t>
      </w:r>
      <w:r>
        <w:rPr>
          <w:rFonts w:hint="eastAsia"/>
          <w:lang w:val="en-US" w:eastAsia="zh-CN"/>
        </w:rPr>
        <w:t>: specify the RF requirement (e.g. Tx and Rx, ACS, ASCS etc requirements) for A-IoT device;</w:t>
      </w:r>
    </w:p>
    <w:p>
      <w:pPr>
        <w:numPr>
          <w:ilvl w:val="0"/>
          <w:numId w:val="0"/>
        </w:numPr>
        <w:tabs>
          <w:tab w:val="left" w:pos="2127"/>
        </w:tabs>
        <w:spacing w:after="0"/>
        <w:jc w:val="both"/>
        <w:rPr>
          <w:rFonts w:hint="eastAsia"/>
          <w:lang w:val="en-US" w:eastAsia="zh-CN"/>
        </w:rPr>
      </w:pPr>
      <w:r>
        <w:rPr>
          <w:rFonts w:hint="eastAsia"/>
          <w:b/>
          <w:bCs/>
          <w:lang w:val="en-US" w:eastAsia="zh-CN"/>
        </w:rPr>
        <w:t>Proposal 10</w:t>
      </w:r>
      <w:r>
        <w:rPr>
          <w:rFonts w:hint="eastAsia"/>
          <w:lang w:val="en-US" w:eastAsia="zh-CN"/>
        </w:rPr>
        <w:t>: treat the reception of CW signals as part of Rx requirements for Ambient IoT Device 1, Device 2a.</w:t>
      </w:r>
    </w:p>
    <w:p>
      <w:pPr>
        <w:numPr>
          <w:ilvl w:val="0"/>
          <w:numId w:val="0"/>
        </w:numPr>
        <w:tabs>
          <w:tab w:val="left" w:pos="2127"/>
        </w:tabs>
        <w:spacing w:after="0"/>
        <w:jc w:val="both"/>
        <w:rPr>
          <w:rFonts w:hint="default"/>
          <w:lang w:val="en-US" w:eastAsia="zh-CN"/>
        </w:rPr>
      </w:pPr>
      <w:r>
        <w:rPr>
          <w:rFonts w:hint="eastAsia"/>
          <w:b/>
          <w:bCs/>
          <w:lang w:val="en-US" w:eastAsia="zh-CN"/>
        </w:rPr>
        <w:t>Proposal 11</w:t>
      </w:r>
      <w:r>
        <w:rPr>
          <w:rFonts w:hint="eastAsia"/>
          <w:lang w:val="en-US" w:eastAsia="zh-CN"/>
        </w:rPr>
        <w:t>: specify the Tx and Rx requirement for intermediate UE in addition to RF requirements for the legacy Uu link.</w:t>
      </w:r>
    </w:p>
    <w:p>
      <w:pPr>
        <w:numPr>
          <w:ilvl w:val="0"/>
          <w:numId w:val="0"/>
        </w:numPr>
        <w:tabs>
          <w:tab w:val="left" w:pos="2127"/>
        </w:tabs>
        <w:spacing w:after="0"/>
        <w:jc w:val="both"/>
        <w:rPr>
          <w:rFonts w:hint="default"/>
          <w:lang w:val="en-US" w:eastAsia="zh-CN"/>
        </w:rPr>
      </w:pPr>
      <w:r>
        <w:rPr>
          <w:rFonts w:hint="eastAsia"/>
          <w:b/>
          <w:bCs/>
          <w:lang w:val="en-US" w:eastAsia="zh-CN"/>
        </w:rPr>
        <w:t>Proposal 12</w:t>
      </w:r>
      <w:r>
        <w:rPr>
          <w:rFonts w:hint="eastAsia"/>
          <w:lang w:val="en-US" w:eastAsia="zh-CN"/>
        </w:rPr>
        <w:t>: specify RF requirement for A-IoT BS transmitting CW signals or intermediate UE transmitting CW signals within topology and specify RF requirement for CW source Node transmitting CW signals outside of topology.</w:t>
      </w:r>
    </w:p>
    <w:p>
      <w:pPr>
        <w:pStyle w:val="58"/>
        <w:tabs>
          <w:tab w:val="left" w:pos="567"/>
          <w:tab w:val="clear" w:pos="1985"/>
        </w:tabs>
        <w:adjustRightInd w:val="0"/>
        <w:ind w:left="510" w:hanging="510"/>
      </w:pPr>
      <w:r>
        <w:t>References</w:t>
      </w:r>
    </w:p>
    <w:p>
      <w:pPr>
        <w:pStyle w:val="56"/>
        <w:numPr>
          <w:ilvl w:val="0"/>
          <w:numId w:val="5"/>
        </w:numPr>
        <w:rPr>
          <w:rFonts w:hint="eastAsia"/>
          <w:sz w:val="20"/>
          <w:szCs w:val="20"/>
        </w:rPr>
      </w:pPr>
      <w:r>
        <w:rPr>
          <w:rFonts w:hint="eastAsia"/>
          <w:sz w:val="20"/>
          <w:szCs w:val="20"/>
          <w:lang w:val="en-US" w:eastAsia="zh-CN"/>
        </w:rPr>
        <w:t>RP-240826,Revised SID: Study on solutions for Ambient IoT (Internet of Things) in NR (CMCC), Approved.</w:t>
      </w:r>
    </w:p>
    <w:p>
      <w:pPr>
        <w:pStyle w:val="22"/>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p>
    <w:sectPr>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475AF96"/>
    <w:multiLevelType w:val="singleLevel"/>
    <w:tmpl w:val="D475AF96"/>
    <w:lvl w:ilvl="0" w:tentative="0">
      <w:start w:val="1"/>
      <w:numFmt w:val="decimal"/>
      <w:suff w:val="space"/>
      <w:lvlText w:val="%1)"/>
      <w:lvlJc w:val="left"/>
    </w:lvl>
  </w:abstractNum>
  <w:abstractNum w:abstractNumId="1">
    <w:nsid w:val="DFAE1895"/>
    <w:multiLevelType w:val="singleLevel"/>
    <w:tmpl w:val="DFAE1895"/>
    <w:lvl w:ilvl="0" w:tentative="0">
      <w:start w:val="1"/>
      <w:numFmt w:val="decimal"/>
      <w:suff w:val="space"/>
      <w:lvlText w:val="[%1]"/>
      <w:lvlJc w:val="left"/>
    </w:lvl>
  </w:abstractNum>
  <w:abstractNum w:abstractNumId="2">
    <w:nsid w:val="31FC40BD"/>
    <w:multiLevelType w:val="multilevel"/>
    <w:tmpl w:val="31FC40BD"/>
    <w:lvl w:ilvl="0" w:tentative="0">
      <w:start w:val="1"/>
      <w:numFmt w:val="bullet"/>
      <w:lvlText w:val=""/>
      <w:lvlJc w:val="left"/>
      <w:pPr>
        <w:ind w:left="720" w:hanging="360"/>
      </w:pPr>
      <w:rPr>
        <w:rFonts w:hint="default" w:ascii="Symbol" w:hAnsi="Symbol"/>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46550133"/>
    <w:multiLevelType w:val="singleLevel"/>
    <w:tmpl w:val="46550133"/>
    <w:lvl w:ilvl="0" w:tentative="0">
      <w:start w:val="1"/>
      <w:numFmt w:val="decimal"/>
      <w:suff w:val="space"/>
      <w:lvlText w:val="%1)"/>
      <w:lvlJc w:val="left"/>
    </w:lvl>
  </w:abstractNum>
  <w:abstractNum w:abstractNumId="4">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4"/>
  </w:num>
  <w:num w:numId="2">
    <w:abstractNumId w:val="0"/>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57529"/>
    <w:rsid w:val="010E6EE3"/>
    <w:rsid w:val="01115B33"/>
    <w:rsid w:val="0112068B"/>
    <w:rsid w:val="01133912"/>
    <w:rsid w:val="01164A78"/>
    <w:rsid w:val="011B7946"/>
    <w:rsid w:val="01237C8B"/>
    <w:rsid w:val="012823DD"/>
    <w:rsid w:val="012A6A7A"/>
    <w:rsid w:val="012B6D59"/>
    <w:rsid w:val="013A4C94"/>
    <w:rsid w:val="01417D3E"/>
    <w:rsid w:val="01442D89"/>
    <w:rsid w:val="01522256"/>
    <w:rsid w:val="01585C28"/>
    <w:rsid w:val="01586859"/>
    <w:rsid w:val="01594895"/>
    <w:rsid w:val="015B6354"/>
    <w:rsid w:val="015C06BF"/>
    <w:rsid w:val="015D1618"/>
    <w:rsid w:val="015F18F2"/>
    <w:rsid w:val="015F5FA3"/>
    <w:rsid w:val="016800B9"/>
    <w:rsid w:val="017059E0"/>
    <w:rsid w:val="0171654A"/>
    <w:rsid w:val="01791D2E"/>
    <w:rsid w:val="01821D8F"/>
    <w:rsid w:val="01864D3B"/>
    <w:rsid w:val="018B2CF0"/>
    <w:rsid w:val="018C2266"/>
    <w:rsid w:val="018C3642"/>
    <w:rsid w:val="018D7DCE"/>
    <w:rsid w:val="0195201D"/>
    <w:rsid w:val="019C3DA8"/>
    <w:rsid w:val="019E267E"/>
    <w:rsid w:val="01A402CD"/>
    <w:rsid w:val="01A742A2"/>
    <w:rsid w:val="01B330C9"/>
    <w:rsid w:val="01B616E6"/>
    <w:rsid w:val="01B94498"/>
    <w:rsid w:val="01BE34DB"/>
    <w:rsid w:val="01BE6ACE"/>
    <w:rsid w:val="01C027D4"/>
    <w:rsid w:val="01C14745"/>
    <w:rsid w:val="01C32135"/>
    <w:rsid w:val="01CB0428"/>
    <w:rsid w:val="01CB7A2C"/>
    <w:rsid w:val="01CF07AE"/>
    <w:rsid w:val="01D311AE"/>
    <w:rsid w:val="01D518FC"/>
    <w:rsid w:val="01D615E1"/>
    <w:rsid w:val="01E1598F"/>
    <w:rsid w:val="01E268ED"/>
    <w:rsid w:val="01E73907"/>
    <w:rsid w:val="01EB317B"/>
    <w:rsid w:val="01EB414A"/>
    <w:rsid w:val="01ED0229"/>
    <w:rsid w:val="01F17B19"/>
    <w:rsid w:val="01F219C7"/>
    <w:rsid w:val="01F33D9D"/>
    <w:rsid w:val="01F60577"/>
    <w:rsid w:val="01FD1152"/>
    <w:rsid w:val="02016155"/>
    <w:rsid w:val="020F4070"/>
    <w:rsid w:val="021042F2"/>
    <w:rsid w:val="021A2C38"/>
    <w:rsid w:val="021D2604"/>
    <w:rsid w:val="022533D4"/>
    <w:rsid w:val="02293A2A"/>
    <w:rsid w:val="022D2A1C"/>
    <w:rsid w:val="022D5BF3"/>
    <w:rsid w:val="022F6559"/>
    <w:rsid w:val="022F66E0"/>
    <w:rsid w:val="023635A6"/>
    <w:rsid w:val="0238292F"/>
    <w:rsid w:val="023A0A2B"/>
    <w:rsid w:val="023C2FEE"/>
    <w:rsid w:val="023E7088"/>
    <w:rsid w:val="023F522A"/>
    <w:rsid w:val="0240545F"/>
    <w:rsid w:val="024504DC"/>
    <w:rsid w:val="024C0ED1"/>
    <w:rsid w:val="024C13AB"/>
    <w:rsid w:val="024C4285"/>
    <w:rsid w:val="02532AA9"/>
    <w:rsid w:val="025732DD"/>
    <w:rsid w:val="025C0F66"/>
    <w:rsid w:val="0262197E"/>
    <w:rsid w:val="026D13E1"/>
    <w:rsid w:val="027035EC"/>
    <w:rsid w:val="027B4322"/>
    <w:rsid w:val="027C5C43"/>
    <w:rsid w:val="02803683"/>
    <w:rsid w:val="028748E0"/>
    <w:rsid w:val="02892A7A"/>
    <w:rsid w:val="02927A98"/>
    <w:rsid w:val="029342BD"/>
    <w:rsid w:val="029D3139"/>
    <w:rsid w:val="02A12134"/>
    <w:rsid w:val="02A45D67"/>
    <w:rsid w:val="02AA2805"/>
    <w:rsid w:val="02AF6836"/>
    <w:rsid w:val="02B06DC0"/>
    <w:rsid w:val="02B31189"/>
    <w:rsid w:val="02B85839"/>
    <w:rsid w:val="02C6057C"/>
    <w:rsid w:val="02C86D51"/>
    <w:rsid w:val="02CE3DD2"/>
    <w:rsid w:val="02D204DD"/>
    <w:rsid w:val="02D36626"/>
    <w:rsid w:val="02D72CF0"/>
    <w:rsid w:val="02DB3978"/>
    <w:rsid w:val="02DC6BBC"/>
    <w:rsid w:val="02DF3819"/>
    <w:rsid w:val="02E3271D"/>
    <w:rsid w:val="02E929C0"/>
    <w:rsid w:val="02F573DC"/>
    <w:rsid w:val="02F95CD1"/>
    <w:rsid w:val="02FF1F3E"/>
    <w:rsid w:val="030005FD"/>
    <w:rsid w:val="03001C79"/>
    <w:rsid w:val="030150CB"/>
    <w:rsid w:val="030313BA"/>
    <w:rsid w:val="03142F2C"/>
    <w:rsid w:val="0315569B"/>
    <w:rsid w:val="031712C4"/>
    <w:rsid w:val="03186045"/>
    <w:rsid w:val="031967AA"/>
    <w:rsid w:val="031A5DF1"/>
    <w:rsid w:val="031E0FAC"/>
    <w:rsid w:val="031E4C95"/>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C342E"/>
    <w:rsid w:val="034E41AA"/>
    <w:rsid w:val="0354325C"/>
    <w:rsid w:val="035C4C68"/>
    <w:rsid w:val="035D2EB4"/>
    <w:rsid w:val="03651217"/>
    <w:rsid w:val="03687ADD"/>
    <w:rsid w:val="03696DA6"/>
    <w:rsid w:val="036A231E"/>
    <w:rsid w:val="03774924"/>
    <w:rsid w:val="03822F79"/>
    <w:rsid w:val="03854DBA"/>
    <w:rsid w:val="038B3715"/>
    <w:rsid w:val="039568DC"/>
    <w:rsid w:val="0395764C"/>
    <w:rsid w:val="039B69FD"/>
    <w:rsid w:val="03A32E58"/>
    <w:rsid w:val="03AC2829"/>
    <w:rsid w:val="03B728E0"/>
    <w:rsid w:val="03C04931"/>
    <w:rsid w:val="03C0647A"/>
    <w:rsid w:val="03C4766B"/>
    <w:rsid w:val="03C6618A"/>
    <w:rsid w:val="03C80D80"/>
    <w:rsid w:val="03CD06E1"/>
    <w:rsid w:val="03CD6E1F"/>
    <w:rsid w:val="03CF6F0E"/>
    <w:rsid w:val="03D077B2"/>
    <w:rsid w:val="03D2121B"/>
    <w:rsid w:val="03D32BD3"/>
    <w:rsid w:val="03D4427A"/>
    <w:rsid w:val="03E54642"/>
    <w:rsid w:val="03F54B29"/>
    <w:rsid w:val="03F81356"/>
    <w:rsid w:val="03F947E9"/>
    <w:rsid w:val="03FC7097"/>
    <w:rsid w:val="03FF3D36"/>
    <w:rsid w:val="04034FE6"/>
    <w:rsid w:val="040B2442"/>
    <w:rsid w:val="040C386D"/>
    <w:rsid w:val="040C6238"/>
    <w:rsid w:val="040E704D"/>
    <w:rsid w:val="041126FA"/>
    <w:rsid w:val="041875C1"/>
    <w:rsid w:val="04193A43"/>
    <w:rsid w:val="041B6FBC"/>
    <w:rsid w:val="04225784"/>
    <w:rsid w:val="04252816"/>
    <w:rsid w:val="04343972"/>
    <w:rsid w:val="043711E5"/>
    <w:rsid w:val="04376B0F"/>
    <w:rsid w:val="04423926"/>
    <w:rsid w:val="0444143C"/>
    <w:rsid w:val="0444783F"/>
    <w:rsid w:val="044753DC"/>
    <w:rsid w:val="04553127"/>
    <w:rsid w:val="045835A5"/>
    <w:rsid w:val="045C0E21"/>
    <w:rsid w:val="045E1DEE"/>
    <w:rsid w:val="045F0F0B"/>
    <w:rsid w:val="045F23BF"/>
    <w:rsid w:val="04605B56"/>
    <w:rsid w:val="04671100"/>
    <w:rsid w:val="046E568E"/>
    <w:rsid w:val="04786E64"/>
    <w:rsid w:val="04786ED3"/>
    <w:rsid w:val="04811E74"/>
    <w:rsid w:val="04856247"/>
    <w:rsid w:val="04865E52"/>
    <w:rsid w:val="04867A48"/>
    <w:rsid w:val="04875104"/>
    <w:rsid w:val="048829D4"/>
    <w:rsid w:val="049B40DC"/>
    <w:rsid w:val="04A128B3"/>
    <w:rsid w:val="04A3117E"/>
    <w:rsid w:val="04C6655F"/>
    <w:rsid w:val="04CD2C67"/>
    <w:rsid w:val="04D66461"/>
    <w:rsid w:val="04D95F6F"/>
    <w:rsid w:val="04E06510"/>
    <w:rsid w:val="04EC6418"/>
    <w:rsid w:val="04ED5A99"/>
    <w:rsid w:val="04FB4499"/>
    <w:rsid w:val="04FF76AB"/>
    <w:rsid w:val="05010225"/>
    <w:rsid w:val="050164A3"/>
    <w:rsid w:val="050E236F"/>
    <w:rsid w:val="051034CD"/>
    <w:rsid w:val="051F43BC"/>
    <w:rsid w:val="052432F7"/>
    <w:rsid w:val="05280A89"/>
    <w:rsid w:val="052A278C"/>
    <w:rsid w:val="052D14A7"/>
    <w:rsid w:val="05367F8C"/>
    <w:rsid w:val="053C34DE"/>
    <w:rsid w:val="053E1AC2"/>
    <w:rsid w:val="053E6829"/>
    <w:rsid w:val="05403ABE"/>
    <w:rsid w:val="054172BD"/>
    <w:rsid w:val="0545651B"/>
    <w:rsid w:val="05564384"/>
    <w:rsid w:val="05583DC1"/>
    <w:rsid w:val="05596D21"/>
    <w:rsid w:val="055A77BF"/>
    <w:rsid w:val="055C5DB2"/>
    <w:rsid w:val="055C75CE"/>
    <w:rsid w:val="05631D30"/>
    <w:rsid w:val="05687505"/>
    <w:rsid w:val="05734531"/>
    <w:rsid w:val="05784E56"/>
    <w:rsid w:val="057C7AAB"/>
    <w:rsid w:val="057F0408"/>
    <w:rsid w:val="05804262"/>
    <w:rsid w:val="05816D10"/>
    <w:rsid w:val="058E6ED4"/>
    <w:rsid w:val="05930F73"/>
    <w:rsid w:val="05940F3F"/>
    <w:rsid w:val="05991C8F"/>
    <w:rsid w:val="059E152E"/>
    <w:rsid w:val="059F1811"/>
    <w:rsid w:val="05A07D47"/>
    <w:rsid w:val="05A706E9"/>
    <w:rsid w:val="05AD341A"/>
    <w:rsid w:val="05B11A20"/>
    <w:rsid w:val="05B173DC"/>
    <w:rsid w:val="05B27D07"/>
    <w:rsid w:val="05B658ED"/>
    <w:rsid w:val="05B709C2"/>
    <w:rsid w:val="05BC079D"/>
    <w:rsid w:val="05BE42A5"/>
    <w:rsid w:val="05C1056D"/>
    <w:rsid w:val="05C256BE"/>
    <w:rsid w:val="05CC32B8"/>
    <w:rsid w:val="05CE30B5"/>
    <w:rsid w:val="05D16BC6"/>
    <w:rsid w:val="05DC2707"/>
    <w:rsid w:val="05E660EA"/>
    <w:rsid w:val="05E73462"/>
    <w:rsid w:val="05EB0F6A"/>
    <w:rsid w:val="05EE3B4E"/>
    <w:rsid w:val="05FA1213"/>
    <w:rsid w:val="05FB01BC"/>
    <w:rsid w:val="05FF3135"/>
    <w:rsid w:val="060030B7"/>
    <w:rsid w:val="060836A6"/>
    <w:rsid w:val="060C4293"/>
    <w:rsid w:val="060C5B07"/>
    <w:rsid w:val="060D249E"/>
    <w:rsid w:val="06111076"/>
    <w:rsid w:val="061146F4"/>
    <w:rsid w:val="0615538F"/>
    <w:rsid w:val="062362D5"/>
    <w:rsid w:val="062734D4"/>
    <w:rsid w:val="062D742E"/>
    <w:rsid w:val="062E1E31"/>
    <w:rsid w:val="06382A58"/>
    <w:rsid w:val="063F20A9"/>
    <w:rsid w:val="064001EE"/>
    <w:rsid w:val="0646400E"/>
    <w:rsid w:val="06474EFD"/>
    <w:rsid w:val="064767A0"/>
    <w:rsid w:val="06493A8C"/>
    <w:rsid w:val="064A35EA"/>
    <w:rsid w:val="064B521E"/>
    <w:rsid w:val="064C2727"/>
    <w:rsid w:val="065740AF"/>
    <w:rsid w:val="065A56A2"/>
    <w:rsid w:val="065E4C7F"/>
    <w:rsid w:val="0665756F"/>
    <w:rsid w:val="066F6122"/>
    <w:rsid w:val="06735C62"/>
    <w:rsid w:val="067570AB"/>
    <w:rsid w:val="06776362"/>
    <w:rsid w:val="067B39B4"/>
    <w:rsid w:val="067D28AB"/>
    <w:rsid w:val="067E5607"/>
    <w:rsid w:val="06805AC5"/>
    <w:rsid w:val="06836FEC"/>
    <w:rsid w:val="068523FB"/>
    <w:rsid w:val="06852909"/>
    <w:rsid w:val="06871289"/>
    <w:rsid w:val="068A178F"/>
    <w:rsid w:val="068C6317"/>
    <w:rsid w:val="069B1966"/>
    <w:rsid w:val="06A22FF5"/>
    <w:rsid w:val="06A32A23"/>
    <w:rsid w:val="06A55EB9"/>
    <w:rsid w:val="06AE0568"/>
    <w:rsid w:val="06AF116F"/>
    <w:rsid w:val="06B338B5"/>
    <w:rsid w:val="06B506C7"/>
    <w:rsid w:val="06B548E2"/>
    <w:rsid w:val="06BA7F49"/>
    <w:rsid w:val="06BB4F9D"/>
    <w:rsid w:val="06C72EBF"/>
    <w:rsid w:val="06C9247F"/>
    <w:rsid w:val="06CA43E9"/>
    <w:rsid w:val="06CD3A64"/>
    <w:rsid w:val="06CD47D4"/>
    <w:rsid w:val="06DB688D"/>
    <w:rsid w:val="06DF7EFF"/>
    <w:rsid w:val="06E015C3"/>
    <w:rsid w:val="06E85678"/>
    <w:rsid w:val="06EF6236"/>
    <w:rsid w:val="06F30672"/>
    <w:rsid w:val="06F35A7A"/>
    <w:rsid w:val="06F35AB6"/>
    <w:rsid w:val="06F66B05"/>
    <w:rsid w:val="0702074E"/>
    <w:rsid w:val="0708086F"/>
    <w:rsid w:val="070F34C5"/>
    <w:rsid w:val="071A77D5"/>
    <w:rsid w:val="071D08AB"/>
    <w:rsid w:val="07220D76"/>
    <w:rsid w:val="07233462"/>
    <w:rsid w:val="072717DA"/>
    <w:rsid w:val="07277193"/>
    <w:rsid w:val="072B7E46"/>
    <w:rsid w:val="072F2139"/>
    <w:rsid w:val="07330557"/>
    <w:rsid w:val="073B285A"/>
    <w:rsid w:val="073F4D45"/>
    <w:rsid w:val="07420D70"/>
    <w:rsid w:val="07436058"/>
    <w:rsid w:val="074E566F"/>
    <w:rsid w:val="074F3DF9"/>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F531B"/>
    <w:rsid w:val="077F542D"/>
    <w:rsid w:val="077F5D16"/>
    <w:rsid w:val="07817B19"/>
    <w:rsid w:val="07896FC7"/>
    <w:rsid w:val="078B062A"/>
    <w:rsid w:val="07916BE4"/>
    <w:rsid w:val="079233D0"/>
    <w:rsid w:val="079E798A"/>
    <w:rsid w:val="07A20864"/>
    <w:rsid w:val="07A2728D"/>
    <w:rsid w:val="07A80D41"/>
    <w:rsid w:val="07AA3E51"/>
    <w:rsid w:val="07BE51B2"/>
    <w:rsid w:val="07BF6455"/>
    <w:rsid w:val="07C126DC"/>
    <w:rsid w:val="07CA4016"/>
    <w:rsid w:val="07D34041"/>
    <w:rsid w:val="07D54951"/>
    <w:rsid w:val="07D835FB"/>
    <w:rsid w:val="07DD018B"/>
    <w:rsid w:val="07E014BE"/>
    <w:rsid w:val="07E04AA8"/>
    <w:rsid w:val="07E17538"/>
    <w:rsid w:val="07E53700"/>
    <w:rsid w:val="07E85751"/>
    <w:rsid w:val="07E9538F"/>
    <w:rsid w:val="07ED5339"/>
    <w:rsid w:val="07F6635B"/>
    <w:rsid w:val="07F70823"/>
    <w:rsid w:val="07F85B3D"/>
    <w:rsid w:val="07F97CF9"/>
    <w:rsid w:val="07FB0419"/>
    <w:rsid w:val="0800676F"/>
    <w:rsid w:val="080511A2"/>
    <w:rsid w:val="080F4BCD"/>
    <w:rsid w:val="08171593"/>
    <w:rsid w:val="0827264B"/>
    <w:rsid w:val="082A0972"/>
    <w:rsid w:val="0835476E"/>
    <w:rsid w:val="08367FC2"/>
    <w:rsid w:val="08391661"/>
    <w:rsid w:val="084E0029"/>
    <w:rsid w:val="08550FFB"/>
    <w:rsid w:val="085B2B84"/>
    <w:rsid w:val="085B5CAA"/>
    <w:rsid w:val="085D6C7E"/>
    <w:rsid w:val="08611CAF"/>
    <w:rsid w:val="0865781A"/>
    <w:rsid w:val="0866133E"/>
    <w:rsid w:val="08692F64"/>
    <w:rsid w:val="087716A2"/>
    <w:rsid w:val="08780590"/>
    <w:rsid w:val="087E046C"/>
    <w:rsid w:val="08813C88"/>
    <w:rsid w:val="088D794D"/>
    <w:rsid w:val="08914A79"/>
    <w:rsid w:val="08942BDF"/>
    <w:rsid w:val="089852F1"/>
    <w:rsid w:val="08990610"/>
    <w:rsid w:val="089B5449"/>
    <w:rsid w:val="089D6B7D"/>
    <w:rsid w:val="08A03B5E"/>
    <w:rsid w:val="08A275F2"/>
    <w:rsid w:val="08B21918"/>
    <w:rsid w:val="08B40442"/>
    <w:rsid w:val="08B94847"/>
    <w:rsid w:val="08BF77F8"/>
    <w:rsid w:val="08C14001"/>
    <w:rsid w:val="08C35C18"/>
    <w:rsid w:val="08C83275"/>
    <w:rsid w:val="08CF2EF9"/>
    <w:rsid w:val="08D836B6"/>
    <w:rsid w:val="08D964D0"/>
    <w:rsid w:val="08E05424"/>
    <w:rsid w:val="08F10FA0"/>
    <w:rsid w:val="08F1525E"/>
    <w:rsid w:val="08F25D58"/>
    <w:rsid w:val="08F5200D"/>
    <w:rsid w:val="08F87A74"/>
    <w:rsid w:val="08F911CC"/>
    <w:rsid w:val="09016732"/>
    <w:rsid w:val="09127CF4"/>
    <w:rsid w:val="09157ADC"/>
    <w:rsid w:val="09157E5B"/>
    <w:rsid w:val="091C6E55"/>
    <w:rsid w:val="092073EA"/>
    <w:rsid w:val="092234B5"/>
    <w:rsid w:val="09226860"/>
    <w:rsid w:val="092275F6"/>
    <w:rsid w:val="092816B4"/>
    <w:rsid w:val="092C26C9"/>
    <w:rsid w:val="09334A3F"/>
    <w:rsid w:val="093B00AE"/>
    <w:rsid w:val="094109B5"/>
    <w:rsid w:val="09444B9B"/>
    <w:rsid w:val="09467185"/>
    <w:rsid w:val="09470556"/>
    <w:rsid w:val="09486BA4"/>
    <w:rsid w:val="0953050B"/>
    <w:rsid w:val="09546457"/>
    <w:rsid w:val="09573CE0"/>
    <w:rsid w:val="0958129F"/>
    <w:rsid w:val="09582472"/>
    <w:rsid w:val="096308E4"/>
    <w:rsid w:val="096913F9"/>
    <w:rsid w:val="096B649C"/>
    <w:rsid w:val="096D7093"/>
    <w:rsid w:val="096F18AA"/>
    <w:rsid w:val="096F1D52"/>
    <w:rsid w:val="09713F26"/>
    <w:rsid w:val="0972140E"/>
    <w:rsid w:val="097862A6"/>
    <w:rsid w:val="09796C44"/>
    <w:rsid w:val="097E56C1"/>
    <w:rsid w:val="098344BC"/>
    <w:rsid w:val="09846B33"/>
    <w:rsid w:val="098A1B59"/>
    <w:rsid w:val="098D22CE"/>
    <w:rsid w:val="09902C37"/>
    <w:rsid w:val="09957BB0"/>
    <w:rsid w:val="09972599"/>
    <w:rsid w:val="09991E4D"/>
    <w:rsid w:val="099D065B"/>
    <w:rsid w:val="099D22A1"/>
    <w:rsid w:val="09A545D9"/>
    <w:rsid w:val="09A64698"/>
    <w:rsid w:val="09A9204A"/>
    <w:rsid w:val="09AC5074"/>
    <w:rsid w:val="09AD07F3"/>
    <w:rsid w:val="09B14A34"/>
    <w:rsid w:val="09B91042"/>
    <w:rsid w:val="09B959E5"/>
    <w:rsid w:val="09BA1421"/>
    <w:rsid w:val="09BA5647"/>
    <w:rsid w:val="09C346F5"/>
    <w:rsid w:val="09C65D3C"/>
    <w:rsid w:val="09CA65A4"/>
    <w:rsid w:val="09CD6A58"/>
    <w:rsid w:val="09CD6EF5"/>
    <w:rsid w:val="09D34B3A"/>
    <w:rsid w:val="09DC40AD"/>
    <w:rsid w:val="09DC463F"/>
    <w:rsid w:val="09E14486"/>
    <w:rsid w:val="09E4648F"/>
    <w:rsid w:val="09F1407D"/>
    <w:rsid w:val="09F21427"/>
    <w:rsid w:val="09F22A67"/>
    <w:rsid w:val="0A0623AC"/>
    <w:rsid w:val="0A093274"/>
    <w:rsid w:val="0A0E6073"/>
    <w:rsid w:val="0A145E2C"/>
    <w:rsid w:val="0A1A2E51"/>
    <w:rsid w:val="0A2102B8"/>
    <w:rsid w:val="0A223227"/>
    <w:rsid w:val="0A22459E"/>
    <w:rsid w:val="0A24365D"/>
    <w:rsid w:val="0A25282E"/>
    <w:rsid w:val="0A2705E1"/>
    <w:rsid w:val="0A2758D1"/>
    <w:rsid w:val="0A2A393B"/>
    <w:rsid w:val="0A2A6A0B"/>
    <w:rsid w:val="0A2B1C45"/>
    <w:rsid w:val="0A312533"/>
    <w:rsid w:val="0A335E1D"/>
    <w:rsid w:val="0A3532DE"/>
    <w:rsid w:val="0A380065"/>
    <w:rsid w:val="0A3A0D5D"/>
    <w:rsid w:val="0A446B70"/>
    <w:rsid w:val="0A4758B8"/>
    <w:rsid w:val="0A5056C6"/>
    <w:rsid w:val="0A5060D6"/>
    <w:rsid w:val="0A570EAE"/>
    <w:rsid w:val="0A5E32BF"/>
    <w:rsid w:val="0A5F4C2E"/>
    <w:rsid w:val="0A6B69C2"/>
    <w:rsid w:val="0A7200B0"/>
    <w:rsid w:val="0A741F08"/>
    <w:rsid w:val="0A771CA5"/>
    <w:rsid w:val="0A7A2F0F"/>
    <w:rsid w:val="0A7F11A2"/>
    <w:rsid w:val="0A7F4F37"/>
    <w:rsid w:val="0A843B9D"/>
    <w:rsid w:val="0A8621F2"/>
    <w:rsid w:val="0A8A7513"/>
    <w:rsid w:val="0A8C711B"/>
    <w:rsid w:val="0A8F1F9F"/>
    <w:rsid w:val="0A9124C9"/>
    <w:rsid w:val="0A9B6BF5"/>
    <w:rsid w:val="0A9E5B2C"/>
    <w:rsid w:val="0AA24BFF"/>
    <w:rsid w:val="0AA40CFE"/>
    <w:rsid w:val="0AA4164F"/>
    <w:rsid w:val="0AA45932"/>
    <w:rsid w:val="0AA50074"/>
    <w:rsid w:val="0AAB401F"/>
    <w:rsid w:val="0AB329A9"/>
    <w:rsid w:val="0ABA55D8"/>
    <w:rsid w:val="0AC23AEF"/>
    <w:rsid w:val="0ACD4245"/>
    <w:rsid w:val="0AD57FD6"/>
    <w:rsid w:val="0AD84FAB"/>
    <w:rsid w:val="0ADD7B55"/>
    <w:rsid w:val="0AE00E26"/>
    <w:rsid w:val="0AE70A68"/>
    <w:rsid w:val="0AF3491F"/>
    <w:rsid w:val="0AFC521E"/>
    <w:rsid w:val="0AFE0751"/>
    <w:rsid w:val="0B0363ED"/>
    <w:rsid w:val="0B0569D0"/>
    <w:rsid w:val="0B110AC0"/>
    <w:rsid w:val="0B1157EF"/>
    <w:rsid w:val="0B1232AE"/>
    <w:rsid w:val="0B155EAD"/>
    <w:rsid w:val="0B1765E0"/>
    <w:rsid w:val="0B1934B2"/>
    <w:rsid w:val="0B1A6D7A"/>
    <w:rsid w:val="0B1C1D7C"/>
    <w:rsid w:val="0B1D3582"/>
    <w:rsid w:val="0B22066E"/>
    <w:rsid w:val="0B2643BE"/>
    <w:rsid w:val="0B2B1908"/>
    <w:rsid w:val="0B2D66EE"/>
    <w:rsid w:val="0B3D5489"/>
    <w:rsid w:val="0B3F2432"/>
    <w:rsid w:val="0B4746C8"/>
    <w:rsid w:val="0B4D5218"/>
    <w:rsid w:val="0B51337F"/>
    <w:rsid w:val="0B513DBF"/>
    <w:rsid w:val="0B5C18DB"/>
    <w:rsid w:val="0B5C42B3"/>
    <w:rsid w:val="0B5D5C62"/>
    <w:rsid w:val="0B5F215C"/>
    <w:rsid w:val="0B605DE1"/>
    <w:rsid w:val="0B615169"/>
    <w:rsid w:val="0B622E13"/>
    <w:rsid w:val="0B651A68"/>
    <w:rsid w:val="0B6E5BD3"/>
    <w:rsid w:val="0B717521"/>
    <w:rsid w:val="0B8307A0"/>
    <w:rsid w:val="0B841D24"/>
    <w:rsid w:val="0B857CF5"/>
    <w:rsid w:val="0B884E90"/>
    <w:rsid w:val="0B892782"/>
    <w:rsid w:val="0B936E39"/>
    <w:rsid w:val="0B9538BE"/>
    <w:rsid w:val="0B9B4AEA"/>
    <w:rsid w:val="0B9C0905"/>
    <w:rsid w:val="0B9E13B0"/>
    <w:rsid w:val="0BA50427"/>
    <w:rsid w:val="0BA63040"/>
    <w:rsid w:val="0BAA0B6D"/>
    <w:rsid w:val="0BB02C8B"/>
    <w:rsid w:val="0BB2460A"/>
    <w:rsid w:val="0BB41A6B"/>
    <w:rsid w:val="0BB41CFB"/>
    <w:rsid w:val="0BB53F3C"/>
    <w:rsid w:val="0BC00376"/>
    <w:rsid w:val="0BC739F0"/>
    <w:rsid w:val="0BD21910"/>
    <w:rsid w:val="0BDA3782"/>
    <w:rsid w:val="0BDB5584"/>
    <w:rsid w:val="0BE0026A"/>
    <w:rsid w:val="0BE03DAA"/>
    <w:rsid w:val="0BE17727"/>
    <w:rsid w:val="0BEC55E4"/>
    <w:rsid w:val="0BF427F9"/>
    <w:rsid w:val="0BF614B9"/>
    <w:rsid w:val="0C0B2ABC"/>
    <w:rsid w:val="0C0C632D"/>
    <w:rsid w:val="0C120111"/>
    <w:rsid w:val="0C12447E"/>
    <w:rsid w:val="0C1D0A79"/>
    <w:rsid w:val="0C2966B3"/>
    <w:rsid w:val="0C2C1AE5"/>
    <w:rsid w:val="0C2D4CDB"/>
    <w:rsid w:val="0C37145B"/>
    <w:rsid w:val="0C3946F8"/>
    <w:rsid w:val="0C3C0AB0"/>
    <w:rsid w:val="0C455380"/>
    <w:rsid w:val="0C517DA1"/>
    <w:rsid w:val="0C52301A"/>
    <w:rsid w:val="0C536E96"/>
    <w:rsid w:val="0C573449"/>
    <w:rsid w:val="0C576E02"/>
    <w:rsid w:val="0C5D74AF"/>
    <w:rsid w:val="0C6038EF"/>
    <w:rsid w:val="0C654C73"/>
    <w:rsid w:val="0C663BE3"/>
    <w:rsid w:val="0C6D5199"/>
    <w:rsid w:val="0C710467"/>
    <w:rsid w:val="0C744A34"/>
    <w:rsid w:val="0C751214"/>
    <w:rsid w:val="0C780533"/>
    <w:rsid w:val="0C780F1E"/>
    <w:rsid w:val="0C7D7580"/>
    <w:rsid w:val="0C85742B"/>
    <w:rsid w:val="0C8726EC"/>
    <w:rsid w:val="0C873353"/>
    <w:rsid w:val="0C880B44"/>
    <w:rsid w:val="0C885C99"/>
    <w:rsid w:val="0C8B4B61"/>
    <w:rsid w:val="0C9924F3"/>
    <w:rsid w:val="0C9A4387"/>
    <w:rsid w:val="0C9D3F03"/>
    <w:rsid w:val="0CA1546A"/>
    <w:rsid w:val="0CA4660D"/>
    <w:rsid w:val="0CA46672"/>
    <w:rsid w:val="0CA92BAC"/>
    <w:rsid w:val="0CB02A2E"/>
    <w:rsid w:val="0CB07BBB"/>
    <w:rsid w:val="0CB176C1"/>
    <w:rsid w:val="0CB471A1"/>
    <w:rsid w:val="0CB90F2E"/>
    <w:rsid w:val="0CBA1CB0"/>
    <w:rsid w:val="0CBB5A0F"/>
    <w:rsid w:val="0CCD3B1C"/>
    <w:rsid w:val="0CD648E3"/>
    <w:rsid w:val="0CE03A9E"/>
    <w:rsid w:val="0CE245F1"/>
    <w:rsid w:val="0CE33A19"/>
    <w:rsid w:val="0CE4001E"/>
    <w:rsid w:val="0CE42962"/>
    <w:rsid w:val="0CEE7587"/>
    <w:rsid w:val="0CF5634C"/>
    <w:rsid w:val="0D0213CD"/>
    <w:rsid w:val="0D04575D"/>
    <w:rsid w:val="0D0612B8"/>
    <w:rsid w:val="0D066A9C"/>
    <w:rsid w:val="0D0714BC"/>
    <w:rsid w:val="0D076826"/>
    <w:rsid w:val="0D0A1D55"/>
    <w:rsid w:val="0D0F2DCE"/>
    <w:rsid w:val="0D136EF9"/>
    <w:rsid w:val="0D1A52C8"/>
    <w:rsid w:val="0D1C1D16"/>
    <w:rsid w:val="0D21615D"/>
    <w:rsid w:val="0D2454BF"/>
    <w:rsid w:val="0D2767B5"/>
    <w:rsid w:val="0D3E327E"/>
    <w:rsid w:val="0D3E50C9"/>
    <w:rsid w:val="0D432A3E"/>
    <w:rsid w:val="0D480AA9"/>
    <w:rsid w:val="0D4D56D6"/>
    <w:rsid w:val="0D5800C7"/>
    <w:rsid w:val="0D5B6E86"/>
    <w:rsid w:val="0D604B9B"/>
    <w:rsid w:val="0D63712E"/>
    <w:rsid w:val="0D647BCA"/>
    <w:rsid w:val="0D6A353C"/>
    <w:rsid w:val="0D771AFB"/>
    <w:rsid w:val="0D7969D7"/>
    <w:rsid w:val="0D826C81"/>
    <w:rsid w:val="0D845BD8"/>
    <w:rsid w:val="0D8F1433"/>
    <w:rsid w:val="0D904522"/>
    <w:rsid w:val="0D972438"/>
    <w:rsid w:val="0D976014"/>
    <w:rsid w:val="0DA060E8"/>
    <w:rsid w:val="0DA21DEB"/>
    <w:rsid w:val="0DA57AAE"/>
    <w:rsid w:val="0DA67711"/>
    <w:rsid w:val="0DB02162"/>
    <w:rsid w:val="0DB44F15"/>
    <w:rsid w:val="0DB51551"/>
    <w:rsid w:val="0DB76EF8"/>
    <w:rsid w:val="0DB8079D"/>
    <w:rsid w:val="0DC80C38"/>
    <w:rsid w:val="0DCE36F3"/>
    <w:rsid w:val="0DCF7F93"/>
    <w:rsid w:val="0DD611B6"/>
    <w:rsid w:val="0DD621E4"/>
    <w:rsid w:val="0DD65208"/>
    <w:rsid w:val="0DD933E8"/>
    <w:rsid w:val="0DDD2372"/>
    <w:rsid w:val="0DDE1317"/>
    <w:rsid w:val="0DE55D4A"/>
    <w:rsid w:val="0DEE77C3"/>
    <w:rsid w:val="0DF0225F"/>
    <w:rsid w:val="0DF21B12"/>
    <w:rsid w:val="0DF367C2"/>
    <w:rsid w:val="0DF5678D"/>
    <w:rsid w:val="0DFC48AF"/>
    <w:rsid w:val="0DFF2594"/>
    <w:rsid w:val="0E0313B1"/>
    <w:rsid w:val="0E043FF3"/>
    <w:rsid w:val="0E062A96"/>
    <w:rsid w:val="0E0D1A47"/>
    <w:rsid w:val="0E176FCD"/>
    <w:rsid w:val="0E193FCB"/>
    <w:rsid w:val="0E1C0C6C"/>
    <w:rsid w:val="0E2134C9"/>
    <w:rsid w:val="0E232F90"/>
    <w:rsid w:val="0E281319"/>
    <w:rsid w:val="0E3217E8"/>
    <w:rsid w:val="0E387AA5"/>
    <w:rsid w:val="0E393B3A"/>
    <w:rsid w:val="0E3F0E9A"/>
    <w:rsid w:val="0E400D03"/>
    <w:rsid w:val="0E406D5C"/>
    <w:rsid w:val="0E485C9B"/>
    <w:rsid w:val="0E4D4B22"/>
    <w:rsid w:val="0E5A04BE"/>
    <w:rsid w:val="0E5E2B07"/>
    <w:rsid w:val="0E6A0F47"/>
    <w:rsid w:val="0E6A1721"/>
    <w:rsid w:val="0E7454FD"/>
    <w:rsid w:val="0E752596"/>
    <w:rsid w:val="0E771E51"/>
    <w:rsid w:val="0E796EA0"/>
    <w:rsid w:val="0E7A2A61"/>
    <w:rsid w:val="0E7C0762"/>
    <w:rsid w:val="0E8118C0"/>
    <w:rsid w:val="0E8164AD"/>
    <w:rsid w:val="0E894FFB"/>
    <w:rsid w:val="0E9A17E3"/>
    <w:rsid w:val="0EA0380F"/>
    <w:rsid w:val="0EA11114"/>
    <w:rsid w:val="0EA35AC0"/>
    <w:rsid w:val="0EAA30A8"/>
    <w:rsid w:val="0EB11C1A"/>
    <w:rsid w:val="0EB34961"/>
    <w:rsid w:val="0EB9447E"/>
    <w:rsid w:val="0EC11B24"/>
    <w:rsid w:val="0EC468A2"/>
    <w:rsid w:val="0EC97E12"/>
    <w:rsid w:val="0ECA0784"/>
    <w:rsid w:val="0ECC4066"/>
    <w:rsid w:val="0ECE7C5F"/>
    <w:rsid w:val="0ED12B32"/>
    <w:rsid w:val="0ED42F9E"/>
    <w:rsid w:val="0EDA48C8"/>
    <w:rsid w:val="0EDC5CD2"/>
    <w:rsid w:val="0EDF1D4E"/>
    <w:rsid w:val="0EE77EDF"/>
    <w:rsid w:val="0EEC53AA"/>
    <w:rsid w:val="0EF75D05"/>
    <w:rsid w:val="0EF957FE"/>
    <w:rsid w:val="0EFE2ACB"/>
    <w:rsid w:val="0F002BA9"/>
    <w:rsid w:val="0F004A9B"/>
    <w:rsid w:val="0F0752A8"/>
    <w:rsid w:val="0F087675"/>
    <w:rsid w:val="0F0D240A"/>
    <w:rsid w:val="0F0E2F3A"/>
    <w:rsid w:val="0F12247A"/>
    <w:rsid w:val="0F1D0ECD"/>
    <w:rsid w:val="0F262A0A"/>
    <w:rsid w:val="0F2D7701"/>
    <w:rsid w:val="0F32645C"/>
    <w:rsid w:val="0F3452E0"/>
    <w:rsid w:val="0F362C24"/>
    <w:rsid w:val="0F364BC2"/>
    <w:rsid w:val="0F3A630E"/>
    <w:rsid w:val="0F3B1C05"/>
    <w:rsid w:val="0F3B7D81"/>
    <w:rsid w:val="0F455F85"/>
    <w:rsid w:val="0F47212B"/>
    <w:rsid w:val="0F49564D"/>
    <w:rsid w:val="0F4D1918"/>
    <w:rsid w:val="0F502C70"/>
    <w:rsid w:val="0F5075AE"/>
    <w:rsid w:val="0F517CFE"/>
    <w:rsid w:val="0F521719"/>
    <w:rsid w:val="0F571705"/>
    <w:rsid w:val="0F584757"/>
    <w:rsid w:val="0F5F48DA"/>
    <w:rsid w:val="0F6A1108"/>
    <w:rsid w:val="0F704CEF"/>
    <w:rsid w:val="0F7514AB"/>
    <w:rsid w:val="0F7C4621"/>
    <w:rsid w:val="0F7D786D"/>
    <w:rsid w:val="0F7E4DAF"/>
    <w:rsid w:val="0F7E6AED"/>
    <w:rsid w:val="0F80243B"/>
    <w:rsid w:val="0F842AF1"/>
    <w:rsid w:val="0F871D69"/>
    <w:rsid w:val="0F8E6521"/>
    <w:rsid w:val="0F8F27CB"/>
    <w:rsid w:val="0F9A3D44"/>
    <w:rsid w:val="0FA11695"/>
    <w:rsid w:val="0FA26E81"/>
    <w:rsid w:val="0FA615E1"/>
    <w:rsid w:val="0FAD0019"/>
    <w:rsid w:val="0FAD3299"/>
    <w:rsid w:val="0FAD3F5A"/>
    <w:rsid w:val="0FB261C9"/>
    <w:rsid w:val="0FB31343"/>
    <w:rsid w:val="0FB714C3"/>
    <w:rsid w:val="0FC06D12"/>
    <w:rsid w:val="0FC12836"/>
    <w:rsid w:val="0FC427AC"/>
    <w:rsid w:val="0FD95333"/>
    <w:rsid w:val="0FDA08D0"/>
    <w:rsid w:val="0FDD44E9"/>
    <w:rsid w:val="0FE0698F"/>
    <w:rsid w:val="0FEA3F98"/>
    <w:rsid w:val="0FEB0378"/>
    <w:rsid w:val="0FEC322B"/>
    <w:rsid w:val="0FEC6EF6"/>
    <w:rsid w:val="10036C5E"/>
    <w:rsid w:val="10045EE6"/>
    <w:rsid w:val="10071FE5"/>
    <w:rsid w:val="100C1580"/>
    <w:rsid w:val="100D3B17"/>
    <w:rsid w:val="10134323"/>
    <w:rsid w:val="10145447"/>
    <w:rsid w:val="10154FE6"/>
    <w:rsid w:val="10201287"/>
    <w:rsid w:val="1023666E"/>
    <w:rsid w:val="1024103C"/>
    <w:rsid w:val="1031492B"/>
    <w:rsid w:val="1035409F"/>
    <w:rsid w:val="1035503C"/>
    <w:rsid w:val="1037078D"/>
    <w:rsid w:val="103806C3"/>
    <w:rsid w:val="103A7991"/>
    <w:rsid w:val="103F5AB4"/>
    <w:rsid w:val="104052A4"/>
    <w:rsid w:val="10413A4E"/>
    <w:rsid w:val="10462479"/>
    <w:rsid w:val="104710A5"/>
    <w:rsid w:val="104830A2"/>
    <w:rsid w:val="104B2D15"/>
    <w:rsid w:val="104D41B8"/>
    <w:rsid w:val="104E13BC"/>
    <w:rsid w:val="10525348"/>
    <w:rsid w:val="10545462"/>
    <w:rsid w:val="10591BBA"/>
    <w:rsid w:val="10613177"/>
    <w:rsid w:val="1063036B"/>
    <w:rsid w:val="10674DB0"/>
    <w:rsid w:val="106D678B"/>
    <w:rsid w:val="107374A2"/>
    <w:rsid w:val="10746083"/>
    <w:rsid w:val="10774625"/>
    <w:rsid w:val="107779F1"/>
    <w:rsid w:val="107B4809"/>
    <w:rsid w:val="10836F99"/>
    <w:rsid w:val="10886883"/>
    <w:rsid w:val="108A2129"/>
    <w:rsid w:val="10900CC5"/>
    <w:rsid w:val="10924B2D"/>
    <w:rsid w:val="10953B42"/>
    <w:rsid w:val="109755DE"/>
    <w:rsid w:val="10A12DB1"/>
    <w:rsid w:val="10B4235C"/>
    <w:rsid w:val="10B7486E"/>
    <w:rsid w:val="10BD429D"/>
    <w:rsid w:val="10C85160"/>
    <w:rsid w:val="10CC5735"/>
    <w:rsid w:val="10D679E0"/>
    <w:rsid w:val="10DF786B"/>
    <w:rsid w:val="10E43C3F"/>
    <w:rsid w:val="10EC75B1"/>
    <w:rsid w:val="10F33CC1"/>
    <w:rsid w:val="10FA45D2"/>
    <w:rsid w:val="10FD6E37"/>
    <w:rsid w:val="11024527"/>
    <w:rsid w:val="110A4489"/>
    <w:rsid w:val="11150F62"/>
    <w:rsid w:val="111A28E5"/>
    <w:rsid w:val="111D0087"/>
    <w:rsid w:val="111D46E5"/>
    <w:rsid w:val="111E5679"/>
    <w:rsid w:val="11217FA9"/>
    <w:rsid w:val="11280A27"/>
    <w:rsid w:val="112F54D2"/>
    <w:rsid w:val="1133321C"/>
    <w:rsid w:val="113B291C"/>
    <w:rsid w:val="11435C3C"/>
    <w:rsid w:val="11457D8C"/>
    <w:rsid w:val="11461F96"/>
    <w:rsid w:val="114C3CA8"/>
    <w:rsid w:val="114D3A1D"/>
    <w:rsid w:val="11562BF2"/>
    <w:rsid w:val="11576536"/>
    <w:rsid w:val="115F7B83"/>
    <w:rsid w:val="11607F73"/>
    <w:rsid w:val="11613A1B"/>
    <w:rsid w:val="116A3BB2"/>
    <w:rsid w:val="116D25D5"/>
    <w:rsid w:val="11703DE0"/>
    <w:rsid w:val="117338ED"/>
    <w:rsid w:val="117561EB"/>
    <w:rsid w:val="11781FEE"/>
    <w:rsid w:val="117824F0"/>
    <w:rsid w:val="117E2370"/>
    <w:rsid w:val="117F2E3D"/>
    <w:rsid w:val="11800455"/>
    <w:rsid w:val="11847341"/>
    <w:rsid w:val="118778A0"/>
    <w:rsid w:val="118F5855"/>
    <w:rsid w:val="118F5D6B"/>
    <w:rsid w:val="1193388F"/>
    <w:rsid w:val="119375C4"/>
    <w:rsid w:val="11996649"/>
    <w:rsid w:val="119C152C"/>
    <w:rsid w:val="11A030A8"/>
    <w:rsid w:val="11AA61BD"/>
    <w:rsid w:val="11AB222F"/>
    <w:rsid w:val="11AC7561"/>
    <w:rsid w:val="11AE6531"/>
    <w:rsid w:val="11AF439E"/>
    <w:rsid w:val="11B50817"/>
    <w:rsid w:val="11B52CFA"/>
    <w:rsid w:val="11B66269"/>
    <w:rsid w:val="11BA0839"/>
    <w:rsid w:val="11BE25B0"/>
    <w:rsid w:val="11C0633B"/>
    <w:rsid w:val="11CA3974"/>
    <w:rsid w:val="11D96062"/>
    <w:rsid w:val="11DD7754"/>
    <w:rsid w:val="11E4369D"/>
    <w:rsid w:val="11EA6B41"/>
    <w:rsid w:val="11EE4F27"/>
    <w:rsid w:val="11F0307F"/>
    <w:rsid w:val="11F267E8"/>
    <w:rsid w:val="11F427FC"/>
    <w:rsid w:val="11F53832"/>
    <w:rsid w:val="11FA2D7A"/>
    <w:rsid w:val="12066C25"/>
    <w:rsid w:val="12103122"/>
    <w:rsid w:val="1210456D"/>
    <w:rsid w:val="12134828"/>
    <w:rsid w:val="12143598"/>
    <w:rsid w:val="12166EF4"/>
    <w:rsid w:val="121729B6"/>
    <w:rsid w:val="12205406"/>
    <w:rsid w:val="12220941"/>
    <w:rsid w:val="12250BF7"/>
    <w:rsid w:val="122A6318"/>
    <w:rsid w:val="122C6138"/>
    <w:rsid w:val="12322148"/>
    <w:rsid w:val="123616D6"/>
    <w:rsid w:val="12396B0A"/>
    <w:rsid w:val="123A52C3"/>
    <w:rsid w:val="123C3AE0"/>
    <w:rsid w:val="123E0CDC"/>
    <w:rsid w:val="12497A85"/>
    <w:rsid w:val="125A02CC"/>
    <w:rsid w:val="12612BA4"/>
    <w:rsid w:val="126405F6"/>
    <w:rsid w:val="1265625F"/>
    <w:rsid w:val="127222F3"/>
    <w:rsid w:val="127B449C"/>
    <w:rsid w:val="127D422E"/>
    <w:rsid w:val="12845278"/>
    <w:rsid w:val="12863AEA"/>
    <w:rsid w:val="128B7C40"/>
    <w:rsid w:val="128C036A"/>
    <w:rsid w:val="128E70AD"/>
    <w:rsid w:val="129535C1"/>
    <w:rsid w:val="129A3856"/>
    <w:rsid w:val="129D41B7"/>
    <w:rsid w:val="12A45BB3"/>
    <w:rsid w:val="12A9130F"/>
    <w:rsid w:val="12AB0CA2"/>
    <w:rsid w:val="12AC51B9"/>
    <w:rsid w:val="12B1068C"/>
    <w:rsid w:val="12B371AD"/>
    <w:rsid w:val="12B43B19"/>
    <w:rsid w:val="12B5075C"/>
    <w:rsid w:val="12BC3C60"/>
    <w:rsid w:val="12C15F00"/>
    <w:rsid w:val="12C2679E"/>
    <w:rsid w:val="12C667C3"/>
    <w:rsid w:val="12C77089"/>
    <w:rsid w:val="12CB4026"/>
    <w:rsid w:val="12D16C9D"/>
    <w:rsid w:val="12D20ECB"/>
    <w:rsid w:val="12D93C20"/>
    <w:rsid w:val="12DD694C"/>
    <w:rsid w:val="12DF0C5E"/>
    <w:rsid w:val="12E302DA"/>
    <w:rsid w:val="12EC215C"/>
    <w:rsid w:val="12EE6AFD"/>
    <w:rsid w:val="12F14D52"/>
    <w:rsid w:val="12F538D3"/>
    <w:rsid w:val="12F85F0D"/>
    <w:rsid w:val="12F97513"/>
    <w:rsid w:val="12FA6C0E"/>
    <w:rsid w:val="12FB7F3D"/>
    <w:rsid w:val="13017E6E"/>
    <w:rsid w:val="130611C7"/>
    <w:rsid w:val="1306326A"/>
    <w:rsid w:val="130C6ECC"/>
    <w:rsid w:val="130C7624"/>
    <w:rsid w:val="130D7CA1"/>
    <w:rsid w:val="131046DE"/>
    <w:rsid w:val="13172F98"/>
    <w:rsid w:val="131B2229"/>
    <w:rsid w:val="131B463A"/>
    <w:rsid w:val="131D12BF"/>
    <w:rsid w:val="131D5DAE"/>
    <w:rsid w:val="13217B01"/>
    <w:rsid w:val="13253FC4"/>
    <w:rsid w:val="132625C2"/>
    <w:rsid w:val="132A7435"/>
    <w:rsid w:val="13322AD3"/>
    <w:rsid w:val="133B5756"/>
    <w:rsid w:val="134904A6"/>
    <w:rsid w:val="134D334B"/>
    <w:rsid w:val="1357258A"/>
    <w:rsid w:val="135845C3"/>
    <w:rsid w:val="135F5E4E"/>
    <w:rsid w:val="1377654A"/>
    <w:rsid w:val="137D1A4D"/>
    <w:rsid w:val="137F1B10"/>
    <w:rsid w:val="137F4E27"/>
    <w:rsid w:val="1382164E"/>
    <w:rsid w:val="13833EEA"/>
    <w:rsid w:val="1387444F"/>
    <w:rsid w:val="138C7615"/>
    <w:rsid w:val="138F0709"/>
    <w:rsid w:val="13903BFA"/>
    <w:rsid w:val="13913843"/>
    <w:rsid w:val="13920C1D"/>
    <w:rsid w:val="13937FAD"/>
    <w:rsid w:val="13962CE5"/>
    <w:rsid w:val="13990AF5"/>
    <w:rsid w:val="13A510A8"/>
    <w:rsid w:val="13A62921"/>
    <w:rsid w:val="13AB3B97"/>
    <w:rsid w:val="13AF7074"/>
    <w:rsid w:val="13B35E26"/>
    <w:rsid w:val="13B42C01"/>
    <w:rsid w:val="13B445AD"/>
    <w:rsid w:val="13B66BD2"/>
    <w:rsid w:val="13BF66BA"/>
    <w:rsid w:val="13C33227"/>
    <w:rsid w:val="13C66479"/>
    <w:rsid w:val="13CA31CB"/>
    <w:rsid w:val="13CD1105"/>
    <w:rsid w:val="13CD4117"/>
    <w:rsid w:val="13D27C86"/>
    <w:rsid w:val="13D765AD"/>
    <w:rsid w:val="13D84274"/>
    <w:rsid w:val="13D90BC5"/>
    <w:rsid w:val="13D91947"/>
    <w:rsid w:val="13DC36E2"/>
    <w:rsid w:val="13E700A6"/>
    <w:rsid w:val="13E96E8F"/>
    <w:rsid w:val="13ED51EC"/>
    <w:rsid w:val="13F22B81"/>
    <w:rsid w:val="13F41B61"/>
    <w:rsid w:val="13FD4FCC"/>
    <w:rsid w:val="13FE285E"/>
    <w:rsid w:val="1400502D"/>
    <w:rsid w:val="14083E7D"/>
    <w:rsid w:val="140D5E1A"/>
    <w:rsid w:val="1410395F"/>
    <w:rsid w:val="141624C3"/>
    <w:rsid w:val="141B08A6"/>
    <w:rsid w:val="14220CA7"/>
    <w:rsid w:val="142E6CAD"/>
    <w:rsid w:val="143802F8"/>
    <w:rsid w:val="144442DA"/>
    <w:rsid w:val="144C6544"/>
    <w:rsid w:val="144F7DD8"/>
    <w:rsid w:val="14547289"/>
    <w:rsid w:val="14556F31"/>
    <w:rsid w:val="14601A0D"/>
    <w:rsid w:val="14697AC5"/>
    <w:rsid w:val="147538F3"/>
    <w:rsid w:val="147544B0"/>
    <w:rsid w:val="14794C74"/>
    <w:rsid w:val="14812D74"/>
    <w:rsid w:val="14836C15"/>
    <w:rsid w:val="14862300"/>
    <w:rsid w:val="148B50C9"/>
    <w:rsid w:val="148C00A0"/>
    <w:rsid w:val="148D3653"/>
    <w:rsid w:val="149363B8"/>
    <w:rsid w:val="149E0A7B"/>
    <w:rsid w:val="14A75504"/>
    <w:rsid w:val="14A82A63"/>
    <w:rsid w:val="14A86EA4"/>
    <w:rsid w:val="14AC358C"/>
    <w:rsid w:val="14AD2764"/>
    <w:rsid w:val="14B227CC"/>
    <w:rsid w:val="14B76730"/>
    <w:rsid w:val="14C42DC7"/>
    <w:rsid w:val="14C767C8"/>
    <w:rsid w:val="14DE753E"/>
    <w:rsid w:val="14E64628"/>
    <w:rsid w:val="14E81AD4"/>
    <w:rsid w:val="14E978A4"/>
    <w:rsid w:val="14F16663"/>
    <w:rsid w:val="14F37724"/>
    <w:rsid w:val="14F51028"/>
    <w:rsid w:val="14F549EC"/>
    <w:rsid w:val="14F92549"/>
    <w:rsid w:val="14FB4950"/>
    <w:rsid w:val="14FD0138"/>
    <w:rsid w:val="14FD4800"/>
    <w:rsid w:val="14FE45D8"/>
    <w:rsid w:val="14FE6347"/>
    <w:rsid w:val="15035D17"/>
    <w:rsid w:val="150650CB"/>
    <w:rsid w:val="150E6B8B"/>
    <w:rsid w:val="15156C3A"/>
    <w:rsid w:val="15157DF4"/>
    <w:rsid w:val="151B0462"/>
    <w:rsid w:val="151C45D8"/>
    <w:rsid w:val="15290336"/>
    <w:rsid w:val="15297BD7"/>
    <w:rsid w:val="152E6293"/>
    <w:rsid w:val="15325A1E"/>
    <w:rsid w:val="153B59AE"/>
    <w:rsid w:val="153D03B9"/>
    <w:rsid w:val="1542012A"/>
    <w:rsid w:val="15422ACA"/>
    <w:rsid w:val="154A777B"/>
    <w:rsid w:val="154D4A84"/>
    <w:rsid w:val="155424D6"/>
    <w:rsid w:val="155605E9"/>
    <w:rsid w:val="155B1745"/>
    <w:rsid w:val="155F651D"/>
    <w:rsid w:val="15655F19"/>
    <w:rsid w:val="156870BF"/>
    <w:rsid w:val="157348EB"/>
    <w:rsid w:val="157500D8"/>
    <w:rsid w:val="15787FE5"/>
    <w:rsid w:val="157E21FE"/>
    <w:rsid w:val="157E5AA6"/>
    <w:rsid w:val="157F4CD7"/>
    <w:rsid w:val="158709E9"/>
    <w:rsid w:val="1587411C"/>
    <w:rsid w:val="15880BD1"/>
    <w:rsid w:val="158C59BD"/>
    <w:rsid w:val="159332D7"/>
    <w:rsid w:val="15940459"/>
    <w:rsid w:val="159669D6"/>
    <w:rsid w:val="159859F4"/>
    <w:rsid w:val="15A80FDC"/>
    <w:rsid w:val="15AA7A19"/>
    <w:rsid w:val="15AC5259"/>
    <w:rsid w:val="15AE02B1"/>
    <w:rsid w:val="15AE46FA"/>
    <w:rsid w:val="15AE5475"/>
    <w:rsid w:val="15B06B12"/>
    <w:rsid w:val="15B21729"/>
    <w:rsid w:val="15B75136"/>
    <w:rsid w:val="15BE3D9D"/>
    <w:rsid w:val="15C02C76"/>
    <w:rsid w:val="15C4476E"/>
    <w:rsid w:val="15C61DCD"/>
    <w:rsid w:val="15CB73D1"/>
    <w:rsid w:val="15CE592F"/>
    <w:rsid w:val="15D4474D"/>
    <w:rsid w:val="15D65753"/>
    <w:rsid w:val="15D7597F"/>
    <w:rsid w:val="15E32BB5"/>
    <w:rsid w:val="15F53F0F"/>
    <w:rsid w:val="160A3803"/>
    <w:rsid w:val="160C437B"/>
    <w:rsid w:val="161033BE"/>
    <w:rsid w:val="16147F08"/>
    <w:rsid w:val="161533B2"/>
    <w:rsid w:val="16160429"/>
    <w:rsid w:val="161C3234"/>
    <w:rsid w:val="16291EAA"/>
    <w:rsid w:val="162F0727"/>
    <w:rsid w:val="16302232"/>
    <w:rsid w:val="163562A4"/>
    <w:rsid w:val="163A584C"/>
    <w:rsid w:val="164051D9"/>
    <w:rsid w:val="1641433F"/>
    <w:rsid w:val="164875ED"/>
    <w:rsid w:val="164B2B96"/>
    <w:rsid w:val="164B6AD5"/>
    <w:rsid w:val="164D6264"/>
    <w:rsid w:val="165511E0"/>
    <w:rsid w:val="165C4863"/>
    <w:rsid w:val="165F5560"/>
    <w:rsid w:val="1663476A"/>
    <w:rsid w:val="1668027A"/>
    <w:rsid w:val="16697DBA"/>
    <w:rsid w:val="166C0D1B"/>
    <w:rsid w:val="166E1C29"/>
    <w:rsid w:val="16727B66"/>
    <w:rsid w:val="167344C7"/>
    <w:rsid w:val="16761157"/>
    <w:rsid w:val="16780DA5"/>
    <w:rsid w:val="16794785"/>
    <w:rsid w:val="168119E9"/>
    <w:rsid w:val="16853FE3"/>
    <w:rsid w:val="168A3277"/>
    <w:rsid w:val="168F5C07"/>
    <w:rsid w:val="1695742C"/>
    <w:rsid w:val="169D1595"/>
    <w:rsid w:val="169E2FAE"/>
    <w:rsid w:val="16A65B92"/>
    <w:rsid w:val="16AA56E3"/>
    <w:rsid w:val="16AC6E85"/>
    <w:rsid w:val="16AD0A57"/>
    <w:rsid w:val="16BA18A0"/>
    <w:rsid w:val="16BA7C07"/>
    <w:rsid w:val="16BD160C"/>
    <w:rsid w:val="16BE109A"/>
    <w:rsid w:val="16C066C7"/>
    <w:rsid w:val="16C2724F"/>
    <w:rsid w:val="16C41FCF"/>
    <w:rsid w:val="16C455CB"/>
    <w:rsid w:val="16D10416"/>
    <w:rsid w:val="16D359B1"/>
    <w:rsid w:val="16D550B0"/>
    <w:rsid w:val="16DC6856"/>
    <w:rsid w:val="16DD48E9"/>
    <w:rsid w:val="16E7220A"/>
    <w:rsid w:val="16F41D35"/>
    <w:rsid w:val="16F7773E"/>
    <w:rsid w:val="16F94056"/>
    <w:rsid w:val="16FD7F89"/>
    <w:rsid w:val="170133DA"/>
    <w:rsid w:val="17017641"/>
    <w:rsid w:val="170259E1"/>
    <w:rsid w:val="17026088"/>
    <w:rsid w:val="170353FD"/>
    <w:rsid w:val="17056BCC"/>
    <w:rsid w:val="170762EB"/>
    <w:rsid w:val="171053FC"/>
    <w:rsid w:val="17137BE1"/>
    <w:rsid w:val="1715378E"/>
    <w:rsid w:val="17172D0A"/>
    <w:rsid w:val="171E7FAF"/>
    <w:rsid w:val="17220210"/>
    <w:rsid w:val="17235F88"/>
    <w:rsid w:val="17256955"/>
    <w:rsid w:val="17260A88"/>
    <w:rsid w:val="172B6CEB"/>
    <w:rsid w:val="172E31B3"/>
    <w:rsid w:val="172F2C81"/>
    <w:rsid w:val="17343071"/>
    <w:rsid w:val="17350245"/>
    <w:rsid w:val="17382580"/>
    <w:rsid w:val="17425826"/>
    <w:rsid w:val="174A2BD1"/>
    <w:rsid w:val="174D3983"/>
    <w:rsid w:val="17595246"/>
    <w:rsid w:val="175A3B24"/>
    <w:rsid w:val="175E4288"/>
    <w:rsid w:val="175F6489"/>
    <w:rsid w:val="17650A34"/>
    <w:rsid w:val="17652ACF"/>
    <w:rsid w:val="176C704A"/>
    <w:rsid w:val="177653C5"/>
    <w:rsid w:val="17781A92"/>
    <w:rsid w:val="17844C56"/>
    <w:rsid w:val="179559A6"/>
    <w:rsid w:val="17957384"/>
    <w:rsid w:val="17A30F12"/>
    <w:rsid w:val="17B274A5"/>
    <w:rsid w:val="17B6063D"/>
    <w:rsid w:val="17B74C8C"/>
    <w:rsid w:val="17B83B56"/>
    <w:rsid w:val="17BA48D6"/>
    <w:rsid w:val="17BC33B5"/>
    <w:rsid w:val="17C0378A"/>
    <w:rsid w:val="17C535A1"/>
    <w:rsid w:val="17C84C9F"/>
    <w:rsid w:val="17CA313C"/>
    <w:rsid w:val="17CC1D1C"/>
    <w:rsid w:val="17CD5EE0"/>
    <w:rsid w:val="17D47D7C"/>
    <w:rsid w:val="17D77660"/>
    <w:rsid w:val="17D77CA7"/>
    <w:rsid w:val="17DD34AB"/>
    <w:rsid w:val="17EB0C0D"/>
    <w:rsid w:val="17ED2085"/>
    <w:rsid w:val="17ED6E2E"/>
    <w:rsid w:val="17EE010A"/>
    <w:rsid w:val="17F223D1"/>
    <w:rsid w:val="17F55D04"/>
    <w:rsid w:val="17FB3B07"/>
    <w:rsid w:val="17FC272C"/>
    <w:rsid w:val="17FE0B0A"/>
    <w:rsid w:val="17FE0C9F"/>
    <w:rsid w:val="17FF3C9D"/>
    <w:rsid w:val="18020237"/>
    <w:rsid w:val="180A527C"/>
    <w:rsid w:val="18157481"/>
    <w:rsid w:val="181B3A35"/>
    <w:rsid w:val="182267FD"/>
    <w:rsid w:val="18235A20"/>
    <w:rsid w:val="18235E85"/>
    <w:rsid w:val="18331DAD"/>
    <w:rsid w:val="18397C4D"/>
    <w:rsid w:val="183E4121"/>
    <w:rsid w:val="183F3DA9"/>
    <w:rsid w:val="184068C1"/>
    <w:rsid w:val="18420253"/>
    <w:rsid w:val="1848540C"/>
    <w:rsid w:val="18524B4C"/>
    <w:rsid w:val="18533B98"/>
    <w:rsid w:val="185546D2"/>
    <w:rsid w:val="18674D45"/>
    <w:rsid w:val="186B15D6"/>
    <w:rsid w:val="186C1DBE"/>
    <w:rsid w:val="186C5153"/>
    <w:rsid w:val="186E738D"/>
    <w:rsid w:val="186F199F"/>
    <w:rsid w:val="186F36A8"/>
    <w:rsid w:val="187640ED"/>
    <w:rsid w:val="18804AA7"/>
    <w:rsid w:val="18850ACD"/>
    <w:rsid w:val="188A6B3F"/>
    <w:rsid w:val="188C347D"/>
    <w:rsid w:val="188C4F53"/>
    <w:rsid w:val="18A16B9A"/>
    <w:rsid w:val="18A5427C"/>
    <w:rsid w:val="18A94FC3"/>
    <w:rsid w:val="18AB1905"/>
    <w:rsid w:val="18AC724D"/>
    <w:rsid w:val="18AF5199"/>
    <w:rsid w:val="18AF7C5B"/>
    <w:rsid w:val="18B417E1"/>
    <w:rsid w:val="18B61C67"/>
    <w:rsid w:val="18C0323C"/>
    <w:rsid w:val="18C9246D"/>
    <w:rsid w:val="18CC589D"/>
    <w:rsid w:val="18CC75E7"/>
    <w:rsid w:val="18CF7D05"/>
    <w:rsid w:val="18D979C0"/>
    <w:rsid w:val="18DE1E44"/>
    <w:rsid w:val="18DE5861"/>
    <w:rsid w:val="18DF766E"/>
    <w:rsid w:val="18E67034"/>
    <w:rsid w:val="18E872D7"/>
    <w:rsid w:val="18E921AF"/>
    <w:rsid w:val="18EA68A3"/>
    <w:rsid w:val="18F06558"/>
    <w:rsid w:val="18F3471F"/>
    <w:rsid w:val="18F931E6"/>
    <w:rsid w:val="18FA042B"/>
    <w:rsid w:val="18FD030D"/>
    <w:rsid w:val="18FE4771"/>
    <w:rsid w:val="19031599"/>
    <w:rsid w:val="19046384"/>
    <w:rsid w:val="19065891"/>
    <w:rsid w:val="19173E00"/>
    <w:rsid w:val="19191340"/>
    <w:rsid w:val="191A7BCC"/>
    <w:rsid w:val="191C5792"/>
    <w:rsid w:val="191F3DE5"/>
    <w:rsid w:val="19200B97"/>
    <w:rsid w:val="19254AA6"/>
    <w:rsid w:val="19267DCF"/>
    <w:rsid w:val="19287BE3"/>
    <w:rsid w:val="192A5704"/>
    <w:rsid w:val="192C599A"/>
    <w:rsid w:val="192D02F6"/>
    <w:rsid w:val="192D5B68"/>
    <w:rsid w:val="19314F34"/>
    <w:rsid w:val="19323A9E"/>
    <w:rsid w:val="193774B0"/>
    <w:rsid w:val="193C139A"/>
    <w:rsid w:val="19445068"/>
    <w:rsid w:val="194A1ACB"/>
    <w:rsid w:val="194C176F"/>
    <w:rsid w:val="194C22FA"/>
    <w:rsid w:val="19500DD6"/>
    <w:rsid w:val="19521210"/>
    <w:rsid w:val="19537076"/>
    <w:rsid w:val="195621A4"/>
    <w:rsid w:val="19564B19"/>
    <w:rsid w:val="195E2D4F"/>
    <w:rsid w:val="195F336A"/>
    <w:rsid w:val="19614F51"/>
    <w:rsid w:val="19675935"/>
    <w:rsid w:val="19684070"/>
    <w:rsid w:val="196A0432"/>
    <w:rsid w:val="196B2258"/>
    <w:rsid w:val="196C7350"/>
    <w:rsid w:val="19720BF1"/>
    <w:rsid w:val="197557A0"/>
    <w:rsid w:val="19764535"/>
    <w:rsid w:val="198374F4"/>
    <w:rsid w:val="1989194D"/>
    <w:rsid w:val="19894C83"/>
    <w:rsid w:val="198C5D06"/>
    <w:rsid w:val="19A60D37"/>
    <w:rsid w:val="19A7296F"/>
    <w:rsid w:val="19AF232D"/>
    <w:rsid w:val="19B94DE5"/>
    <w:rsid w:val="19BB7983"/>
    <w:rsid w:val="19CA4702"/>
    <w:rsid w:val="19D01D27"/>
    <w:rsid w:val="19D76F77"/>
    <w:rsid w:val="19DC3901"/>
    <w:rsid w:val="19DE7440"/>
    <w:rsid w:val="19E45BB3"/>
    <w:rsid w:val="19ED386F"/>
    <w:rsid w:val="19F90091"/>
    <w:rsid w:val="19F91F18"/>
    <w:rsid w:val="19FF1298"/>
    <w:rsid w:val="1A012F98"/>
    <w:rsid w:val="1A03072C"/>
    <w:rsid w:val="1A045B87"/>
    <w:rsid w:val="1A1F1382"/>
    <w:rsid w:val="1A203F61"/>
    <w:rsid w:val="1A210157"/>
    <w:rsid w:val="1A2364A1"/>
    <w:rsid w:val="1A2C794C"/>
    <w:rsid w:val="1A365F00"/>
    <w:rsid w:val="1A402130"/>
    <w:rsid w:val="1A484A02"/>
    <w:rsid w:val="1A4C648D"/>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A2EF9"/>
    <w:rsid w:val="1A7C1CC2"/>
    <w:rsid w:val="1A7F4EDC"/>
    <w:rsid w:val="1A813E2C"/>
    <w:rsid w:val="1A8506F7"/>
    <w:rsid w:val="1A862267"/>
    <w:rsid w:val="1A8F2FDB"/>
    <w:rsid w:val="1A960E81"/>
    <w:rsid w:val="1A972C69"/>
    <w:rsid w:val="1A9A0C93"/>
    <w:rsid w:val="1A9A12C1"/>
    <w:rsid w:val="1AAD1CE9"/>
    <w:rsid w:val="1AB02AE4"/>
    <w:rsid w:val="1AB359A1"/>
    <w:rsid w:val="1ABD31B9"/>
    <w:rsid w:val="1ABF3A95"/>
    <w:rsid w:val="1AC20F7A"/>
    <w:rsid w:val="1AC91D4C"/>
    <w:rsid w:val="1ACE2A77"/>
    <w:rsid w:val="1ACE6E77"/>
    <w:rsid w:val="1AD03069"/>
    <w:rsid w:val="1AD55B02"/>
    <w:rsid w:val="1AD71252"/>
    <w:rsid w:val="1AD972F0"/>
    <w:rsid w:val="1ADA6731"/>
    <w:rsid w:val="1ADC2627"/>
    <w:rsid w:val="1AEA5B10"/>
    <w:rsid w:val="1AED0EC9"/>
    <w:rsid w:val="1AF06C95"/>
    <w:rsid w:val="1AF34AE5"/>
    <w:rsid w:val="1AF3712C"/>
    <w:rsid w:val="1AF84C8C"/>
    <w:rsid w:val="1AFE2079"/>
    <w:rsid w:val="1B00502A"/>
    <w:rsid w:val="1B08241D"/>
    <w:rsid w:val="1B082CC4"/>
    <w:rsid w:val="1B0B3B20"/>
    <w:rsid w:val="1B1613A0"/>
    <w:rsid w:val="1B1F30D9"/>
    <w:rsid w:val="1B223C37"/>
    <w:rsid w:val="1B2A7E36"/>
    <w:rsid w:val="1B2F42C3"/>
    <w:rsid w:val="1B315167"/>
    <w:rsid w:val="1B324397"/>
    <w:rsid w:val="1B372EB9"/>
    <w:rsid w:val="1B39636C"/>
    <w:rsid w:val="1B3C488F"/>
    <w:rsid w:val="1B40005E"/>
    <w:rsid w:val="1B4268B4"/>
    <w:rsid w:val="1B427936"/>
    <w:rsid w:val="1B445D47"/>
    <w:rsid w:val="1B5D3106"/>
    <w:rsid w:val="1B73181B"/>
    <w:rsid w:val="1B7906CE"/>
    <w:rsid w:val="1B7D07F3"/>
    <w:rsid w:val="1B831B2B"/>
    <w:rsid w:val="1B853A57"/>
    <w:rsid w:val="1B9219EE"/>
    <w:rsid w:val="1B9307F8"/>
    <w:rsid w:val="1B944685"/>
    <w:rsid w:val="1B945678"/>
    <w:rsid w:val="1B9B3AD0"/>
    <w:rsid w:val="1BA258AE"/>
    <w:rsid w:val="1BA57F07"/>
    <w:rsid w:val="1BAA3905"/>
    <w:rsid w:val="1BB01F6E"/>
    <w:rsid w:val="1BB31994"/>
    <w:rsid w:val="1BB81DD8"/>
    <w:rsid w:val="1BB848C7"/>
    <w:rsid w:val="1BB86F3A"/>
    <w:rsid w:val="1BC85001"/>
    <w:rsid w:val="1BCA7505"/>
    <w:rsid w:val="1BD91032"/>
    <w:rsid w:val="1BDD2FB0"/>
    <w:rsid w:val="1BDF024C"/>
    <w:rsid w:val="1BE824DB"/>
    <w:rsid w:val="1BEA1E6C"/>
    <w:rsid w:val="1BEE4EC9"/>
    <w:rsid w:val="1BEF7D4B"/>
    <w:rsid w:val="1BF768CD"/>
    <w:rsid w:val="1BF92025"/>
    <w:rsid w:val="1BF9326D"/>
    <w:rsid w:val="1C020825"/>
    <w:rsid w:val="1C036FDA"/>
    <w:rsid w:val="1C0730F3"/>
    <w:rsid w:val="1C08111C"/>
    <w:rsid w:val="1C0A12E3"/>
    <w:rsid w:val="1C0B33CB"/>
    <w:rsid w:val="1C0D0258"/>
    <w:rsid w:val="1C0D60C9"/>
    <w:rsid w:val="1C17562C"/>
    <w:rsid w:val="1C1869A6"/>
    <w:rsid w:val="1C191CF6"/>
    <w:rsid w:val="1C206F70"/>
    <w:rsid w:val="1C230C59"/>
    <w:rsid w:val="1C242C80"/>
    <w:rsid w:val="1C277F90"/>
    <w:rsid w:val="1C33796F"/>
    <w:rsid w:val="1C341EE3"/>
    <w:rsid w:val="1C360432"/>
    <w:rsid w:val="1C3B2AED"/>
    <w:rsid w:val="1C3E5B92"/>
    <w:rsid w:val="1C441419"/>
    <w:rsid w:val="1C4774DD"/>
    <w:rsid w:val="1C4A45C4"/>
    <w:rsid w:val="1C4B3310"/>
    <w:rsid w:val="1C561E66"/>
    <w:rsid w:val="1C5E3742"/>
    <w:rsid w:val="1C5F23B1"/>
    <w:rsid w:val="1C6D07BF"/>
    <w:rsid w:val="1C6D4144"/>
    <w:rsid w:val="1C726EC3"/>
    <w:rsid w:val="1C793EB9"/>
    <w:rsid w:val="1C7B65E1"/>
    <w:rsid w:val="1C807142"/>
    <w:rsid w:val="1C90266F"/>
    <w:rsid w:val="1C9A166E"/>
    <w:rsid w:val="1C9C48A7"/>
    <w:rsid w:val="1CA16CCE"/>
    <w:rsid w:val="1CAA7318"/>
    <w:rsid w:val="1CAB1830"/>
    <w:rsid w:val="1CAD2752"/>
    <w:rsid w:val="1CB702E9"/>
    <w:rsid w:val="1CBA5B32"/>
    <w:rsid w:val="1CBE0F85"/>
    <w:rsid w:val="1CBE5026"/>
    <w:rsid w:val="1CC1651E"/>
    <w:rsid w:val="1CC34B2B"/>
    <w:rsid w:val="1CCD6D74"/>
    <w:rsid w:val="1CD363DF"/>
    <w:rsid w:val="1CD8702E"/>
    <w:rsid w:val="1CD97139"/>
    <w:rsid w:val="1CE13063"/>
    <w:rsid w:val="1CE2616E"/>
    <w:rsid w:val="1CF15683"/>
    <w:rsid w:val="1CF333A5"/>
    <w:rsid w:val="1CF53F65"/>
    <w:rsid w:val="1CFA57E6"/>
    <w:rsid w:val="1D023336"/>
    <w:rsid w:val="1D031DDA"/>
    <w:rsid w:val="1D0B731D"/>
    <w:rsid w:val="1D1C33A3"/>
    <w:rsid w:val="1D1D6A68"/>
    <w:rsid w:val="1D1F1D0C"/>
    <w:rsid w:val="1D2054C4"/>
    <w:rsid w:val="1D24658B"/>
    <w:rsid w:val="1D2E77E8"/>
    <w:rsid w:val="1D457CE9"/>
    <w:rsid w:val="1D470795"/>
    <w:rsid w:val="1D4969F4"/>
    <w:rsid w:val="1D4C117F"/>
    <w:rsid w:val="1D513E68"/>
    <w:rsid w:val="1D563E2F"/>
    <w:rsid w:val="1D587FD7"/>
    <w:rsid w:val="1D5A17CD"/>
    <w:rsid w:val="1D5A3689"/>
    <w:rsid w:val="1D5E036D"/>
    <w:rsid w:val="1D6033FE"/>
    <w:rsid w:val="1D684015"/>
    <w:rsid w:val="1D6B5AD7"/>
    <w:rsid w:val="1D6F79AF"/>
    <w:rsid w:val="1D7877C5"/>
    <w:rsid w:val="1D7C6E19"/>
    <w:rsid w:val="1D7D5506"/>
    <w:rsid w:val="1D8A5A12"/>
    <w:rsid w:val="1D8F5B72"/>
    <w:rsid w:val="1D8F6826"/>
    <w:rsid w:val="1D9B69B7"/>
    <w:rsid w:val="1D9C5DA0"/>
    <w:rsid w:val="1D9C7126"/>
    <w:rsid w:val="1D9F462B"/>
    <w:rsid w:val="1DA1442D"/>
    <w:rsid w:val="1DA265B5"/>
    <w:rsid w:val="1DB26ED0"/>
    <w:rsid w:val="1DB835A9"/>
    <w:rsid w:val="1DC254A8"/>
    <w:rsid w:val="1DC603E1"/>
    <w:rsid w:val="1DEC45ED"/>
    <w:rsid w:val="1DF2745E"/>
    <w:rsid w:val="1DF71982"/>
    <w:rsid w:val="1DF8498F"/>
    <w:rsid w:val="1E02615D"/>
    <w:rsid w:val="1E093D7D"/>
    <w:rsid w:val="1E143B97"/>
    <w:rsid w:val="1E183872"/>
    <w:rsid w:val="1E1D7E95"/>
    <w:rsid w:val="1E201A27"/>
    <w:rsid w:val="1E224747"/>
    <w:rsid w:val="1E2B2F2B"/>
    <w:rsid w:val="1E304B88"/>
    <w:rsid w:val="1E377B48"/>
    <w:rsid w:val="1E3E02E7"/>
    <w:rsid w:val="1E6703B7"/>
    <w:rsid w:val="1E680B85"/>
    <w:rsid w:val="1E6B2336"/>
    <w:rsid w:val="1E712925"/>
    <w:rsid w:val="1E7845CD"/>
    <w:rsid w:val="1E8028A0"/>
    <w:rsid w:val="1E8261B5"/>
    <w:rsid w:val="1E867740"/>
    <w:rsid w:val="1E8B032D"/>
    <w:rsid w:val="1E8B7AD0"/>
    <w:rsid w:val="1E8E3E30"/>
    <w:rsid w:val="1E9D2018"/>
    <w:rsid w:val="1E9D4737"/>
    <w:rsid w:val="1E9D55A8"/>
    <w:rsid w:val="1EA11D29"/>
    <w:rsid w:val="1EA13E87"/>
    <w:rsid w:val="1EA53D75"/>
    <w:rsid w:val="1EA73541"/>
    <w:rsid w:val="1EAF4E87"/>
    <w:rsid w:val="1EB50D64"/>
    <w:rsid w:val="1EB774F1"/>
    <w:rsid w:val="1EBA43DC"/>
    <w:rsid w:val="1EBF5044"/>
    <w:rsid w:val="1EC11B39"/>
    <w:rsid w:val="1EC80437"/>
    <w:rsid w:val="1EC9295D"/>
    <w:rsid w:val="1ECC341E"/>
    <w:rsid w:val="1ED15DFD"/>
    <w:rsid w:val="1ED509F1"/>
    <w:rsid w:val="1ED874EC"/>
    <w:rsid w:val="1ED94E25"/>
    <w:rsid w:val="1EDB6C5F"/>
    <w:rsid w:val="1EE25AF1"/>
    <w:rsid w:val="1EE36B24"/>
    <w:rsid w:val="1EE4433F"/>
    <w:rsid w:val="1EE6740D"/>
    <w:rsid w:val="1EEC1621"/>
    <w:rsid w:val="1EED7A29"/>
    <w:rsid w:val="1EF9792C"/>
    <w:rsid w:val="1F002DCD"/>
    <w:rsid w:val="1F0D14F3"/>
    <w:rsid w:val="1F0E3B92"/>
    <w:rsid w:val="1F120D07"/>
    <w:rsid w:val="1F141EF2"/>
    <w:rsid w:val="1F280D38"/>
    <w:rsid w:val="1F303EA7"/>
    <w:rsid w:val="1F30637A"/>
    <w:rsid w:val="1F3111CE"/>
    <w:rsid w:val="1F323579"/>
    <w:rsid w:val="1F3C6AF7"/>
    <w:rsid w:val="1F405E44"/>
    <w:rsid w:val="1F4A3D83"/>
    <w:rsid w:val="1F4E681F"/>
    <w:rsid w:val="1F5174F6"/>
    <w:rsid w:val="1F5324C1"/>
    <w:rsid w:val="1F561E2A"/>
    <w:rsid w:val="1F5E088A"/>
    <w:rsid w:val="1F5F1E2B"/>
    <w:rsid w:val="1F661994"/>
    <w:rsid w:val="1F672A0E"/>
    <w:rsid w:val="1F6833F6"/>
    <w:rsid w:val="1F68659A"/>
    <w:rsid w:val="1F7756A5"/>
    <w:rsid w:val="1F7959F4"/>
    <w:rsid w:val="1F7C19E4"/>
    <w:rsid w:val="1F83562C"/>
    <w:rsid w:val="1F8A5F10"/>
    <w:rsid w:val="1F947917"/>
    <w:rsid w:val="1F952318"/>
    <w:rsid w:val="1FA12A08"/>
    <w:rsid w:val="1FA732AF"/>
    <w:rsid w:val="1FA82FF9"/>
    <w:rsid w:val="1FAC192E"/>
    <w:rsid w:val="1FAD796D"/>
    <w:rsid w:val="1FB01266"/>
    <w:rsid w:val="1FB260BE"/>
    <w:rsid w:val="1FB34CAE"/>
    <w:rsid w:val="1FB54204"/>
    <w:rsid w:val="1FB5597B"/>
    <w:rsid w:val="1FB63655"/>
    <w:rsid w:val="1FBA0563"/>
    <w:rsid w:val="1FBD7AAE"/>
    <w:rsid w:val="1FBE77B2"/>
    <w:rsid w:val="1FBF2E17"/>
    <w:rsid w:val="1FC26AB9"/>
    <w:rsid w:val="1FC46F9E"/>
    <w:rsid w:val="1FC511F0"/>
    <w:rsid w:val="1FC7659B"/>
    <w:rsid w:val="1FCB20ED"/>
    <w:rsid w:val="1FD35404"/>
    <w:rsid w:val="1FD460E6"/>
    <w:rsid w:val="1FDF6B08"/>
    <w:rsid w:val="1FDF7828"/>
    <w:rsid w:val="1FE045AC"/>
    <w:rsid w:val="1FE34C59"/>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C304F"/>
    <w:rsid w:val="201C690F"/>
    <w:rsid w:val="20263D53"/>
    <w:rsid w:val="20275ED1"/>
    <w:rsid w:val="20350A1F"/>
    <w:rsid w:val="203B1416"/>
    <w:rsid w:val="203C2005"/>
    <w:rsid w:val="20402758"/>
    <w:rsid w:val="20420995"/>
    <w:rsid w:val="20447B3E"/>
    <w:rsid w:val="204619A3"/>
    <w:rsid w:val="204D7AED"/>
    <w:rsid w:val="204F595B"/>
    <w:rsid w:val="20532924"/>
    <w:rsid w:val="205A627C"/>
    <w:rsid w:val="206301A7"/>
    <w:rsid w:val="20642E89"/>
    <w:rsid w:val="2067334B"/>
    <w:rsid w:val="206F7CD5"/>
    <w:rsid w:val="207778B9"/>
    <w:rsid w:val="207A2037"/>
    <w:rsid w:val="207E34E5"/>
    <w:rsid w:val="20850EC1"/>
    <w:rsid w:val="20911227"/>
    <w:rsid w:val="20934FE0"/>
    <w:rsid w:val="209511C3"/>
    <w:rsid w:val="209A17A4"/>
    <w:rsid w:val="209E715A"/>
    <w:rsid w:val="20A70ABE"/>
    <w:rsid w:val="20AC38F6"/>
    <w:rsid w:val="20B836F9"/>
    <w:rsid w:val="20BD741D"/>
    <w:rsid w:val="20BF422E"/>
    <w:rsid w:val="20C10077"/>
    <w:rsid w:val="20C261C8"/>
    <w:rsid w:val="20C37A68"/>
    <w:rsid w:val="20C96FD1"/>
    <w:rsid w:val="20CC2666"/>
    <w:rsid w:val="20CF2597"/>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45C42"/>
    <w:rsid w:val="21150BAB"/>
    <w:rsid w:val="211C198B"/>
    <w:rsid w:val="211C7EF8"/>
    <w:rsid w:val="21201AED"/>
    <w:rsid w:val="21252CA9"/>
    <w:rsid w:val="212F6A59"/>
    <w:rsid w:val="213020AE"/>
    <w:rsid w:val="21306305"/>
    <w:rsid w:val="213170F5"/>
    <w:rsid w:val="21330562"/>
    <w:rsid w:val="21335DA6"/>
    <w:rsid w:val="21361B20"/>
    <w:rsid w:val="213D54AD"/>
    <w:rsid w:val="214169BB"/>
    <w:rsid w:val="21432058"/>
    <w:rsid w:val="2144141D"/>
    <w:rsid w:val="214B1974"/>
    <w:rsid w:val="214F4863"/>
    <w:rsid w:val="21504A40"/>
    <w:rsid w:val="21580905"/>
    <w:rsid w:val="215F7E39"/>
    <w:rsid w:val="2163647D"/>
    <w:rsid w:val="216C54DE"/>
    <w:rsid w:val="216E4095"/>
    <w:rsid w:val="217106CC"/>
    <w:rsid w:val="21741E6D"/>
    <w:rsid w:val="217C7971"/>
    <w:rsid w:val="217D44BC"/>
    <w:rsid w:val="21840F69"/>
    <w:rsid w:val="21852244"/>
    <w:rsid w:val="218F61F1"/>
    <w:rsid w:val="21936BCB"/>
    <w:rsid w:val="219619F8"/>
    <w:rsid w:val="219842E4"/>
    <w:rsid w:val="21997056"/>
    <w:rsid w:val="219B2AEE"/>
    <w:rsid w:val="219D3F2A"/>
    <w:rsid w:val="21A3040B"/>
    <w:rsid w:val="21AA5245"/>
    <w:rsid w:val="21AB4F6A"/>
    <w:rsid w:val="21AB77F7"/>
    <w:rsid w:val="21AC4ECC"/>
    <w:rsid w:val="21AD30AE"/>
    <w:rsid w:val="21B50781"/>
    <w:rsid w:val="21B528B3"/>
    <w:rsid w:val="21B87C47"/>
    <w:rsid w:val="21BF03BC"/>
    <w:rsid w:val="21BF480E"/>
    <w:rsid w:val="21C05C8D"/>
    <w:rsid w:val="21C447A5"/>
    <w:rsid w:val="21C83388"/>
    <w:rsid w:val="21CA711F"/>
    <w:rsid w:val="21CB0E2A"/>
    <w:rsid w:val="21D06D34"/>
    <w:rsid w:val="21D372BD"/>
    <w:rsid w:val="21D413E2"/>
    <w:rsid w:val="21D47A13"/>
    <w:rsid w:val="21D52CEC"/>
    <w:rsid w:val="21D83EFE"/>
    <w:rsid w:val="21DC7859"/>
    <w:rsid w:val="21F54612"/>
    <w:rsid w:val="21FF71D8"/>
    <w:rsid w:val="22021B37"/>
    <w:rsid w:val="2208516B"/>
    <w:rsid w:val="2209399D"/>
    <w:rsid w:val="22101F8E"/>
    <w:rsid w:val="221E498F"/>
    <w:rsid w:val="222165C4"/>
    <w:rsid w:val="2225227E"/>
    <w:rsid w:val="222A2727"/>
    <w:rsid w:val="222E6801"/>
    <w:rsid w:val="222F381A"/>
    <w:rsid w:val="22315922"/>
    <w:rsid w:val="22343124"/>
    <w:rsid w:val="22454AA6"/>
    <w:rsid w:val="224E39DE"/>
    <w:rsid w:val="224E74D0"/>
    <w:rsid w:val="22520D88"/>
    <w:rsid w:val="225C1E49"/>
    <w:rsid w:val="22680B07"/>
    <w:rsid w:val="22681A0E"/>
    <w:rsid w:val="226E20BA"/>
    <w:rsid w:val="22713317"/>
    <w:rsid w:val="227D6059"/>
    <w:rsid w:val="227F5037"/>
    <w:rsid w:val="228041D7"/>
    <w:rsid w:val="228A008B"/>
    <w:rsid w:val="228A2082"/>
    <w:rsid w:val="228D63FC"/>
    <w:rsid w:val="229A7E25"/>
    <w:rsid w:val="229D01C1"/>
    <w:rsid w:val="229F462B"/>
    <w:rsid w:val="22A234E8"/>
    <w:rsid w:val="22A72B65"/>
    <w:rsid w:val="22AA0362"/>
    <w:rsid w:val="22AA773F"/>
    <w:rsid w:val="22B059F5"/>
    <w:rsid w:val="22B06BDB"/>
    <w:rsid w:val="22B21CAB"/>
    <w:rsid w:val="22B63FB8"/>
    <w:rsid w:val="22BA2D5C"/>
    <w:rsid w:val="22BA6F2B"/>
    <w:rsid w:val="22BC7DF2"/>
    <w:rsid w:val="22BD19A6"/>
    <w:rsid w:val="22BD504B"/>
    <w:rsid w:val="22C746AF"/>
    <w:rsid w:val="22D141D7"/>
    <w:rsid w:val="22D41540"/>
    <w:rsid w:val="22D61781"/>
    <w:rsid w:val="22E30977"/>
    <w:rsid w:val="22E30F99"/>
    <w:rsid w:val="22E51E43"/>
    <w:rsid w:val="22E95A8D"/>
    <w:rsid w:val="22EF5453"/>
    <w:rsid w:val="22F017B2"/>
    <w:rsid w:val="22F23E75"/>
    <w:rsid w:val="22F7088E"/>
    <w:rsid w:val="22F97E5B"/>
    <w:rsid w:val="22FA647A"/>
    <w:rsid w:val="22FB21DC"/>
    <w:rsid w:val="23003817"/>
    <w:rsid w:val="23042520"/>
    <w:rsid w:val="230B07F6"/>
    <w:rsid w:val="230D1610"/>
    <w:rsid w:val="23143B37"/>
    <w:rsid w:val="231544D3"/>
    <w:rsid w:val="2315496B"/>
    <w:rsid w:val="231637F9"/>
    <w:rsid w:val="231A014A"/>
    <w:rsid w:val="23221784"/>
    <w:rsid w:val="23230E78"/>
    <w:rsid w:val="23243296"/>
    <w:rsid w:val="232A4513"/>
    <w:rsid w:val="232A7369"/>
    <w:rsid w:val="232B528D"/>
    <w:rsid w:val="232C27B2"/>
    <w:rsid w:val="232C343E"/>
    <w:rsid w:val="232E7AA0"/>
    <w:rsid w:val="232F4B8E"/>
    <w:rsid w:val="233027B0"/>
    <w:rsid w:val="233779B4"/>
    <w:rsid w:val="2341558C"/>
    <w:rsid w:val="23415924"/>
    <w:rsid w:val="23437735"/>
    <w:rsid w:val="23566DDF"/>
    <w:rsid w:val="23572E7E"/>
    <w:rsid w:val="235924CA"/>
    <w:rsid w:val="23592D87"/>
    <w:rsid w:val="235F162F"/>
    <w:rsid w:val="23615E8A"/>
    <w:rsid w:val="23673863"/>
    <w:rsid w:val="236A053E"/>
    <w:rsid w:val="236D4F13"/>
    <w:rsid w:val="237232A4"/>
    <w:rsid w:val="23752F81"/>
    <w:rsid w:val="237B7D6C"/>
    <w:rsid w:val="238015EC"/>
    <w:rsid w:val="238355CB"/>
    <w:rsid w:val="23837B67"/>
    <w:rsid w:val="23857493"/>
    <w:rsid w:val="238755B6"/>
    <w:rsid w:val="23885214"/>
    <w:rsid w:val="238944BF"/>
    <w:rsid w:val="238B65DE"/>
    <w:rsid w:val="238D0169"/>
    <w:rsid w:val="2390760E"/>
    <w:rsid w:val="239130F2"/>
    <w:rsid w:val="239B728F"/>
    <w:rsid w:val="239D405B"/>
    <w:rsid w:val="23A06FB8"/>
    <w:rsid w:val="23AE6E9E"/>
    <w:rsid w:val="23B02460"/>
    <w:rsid w:val="23B94969"/>
    <w:rsid w:val="23BD6F6C"/>
    <w:rsid w:val="23BF30A4"/>
    <w:rsid w:val="23C62FD3"/>
    <w:rsid w:val="23C80F4A"/>
    <w:rsid w:val="23CC4AE0"/>
    <w:rsid w:val="23CE5D21"/>
    <w:rsid w:val="23D160BB"/>
    <w:rsid w:val="23D2612A"/>
    <w:rsid w:val="23D33566"/>
    <w:rsid w:val="23D53925"/>
    <w:rsid w:val="23D9762E"/>
    <w:rsid w:val="23DF2C6B"/>
    <w:rsid w:val="23E14E6C"/>
    <w:rsid w:val="23E173A1"/>
    <w:rsid w:val="23E3610D"/>
    <w:rsid w:val="23E52298"/>
    <w:rsid w:val="23E94462"/>
    <w:rsid w:val="23F06611"/>
    <w:rsid w:val="23F90CF2"/>
    <w:rsid w:val="24090775"/>
    <w:rsid w:val="240A6080"/>
    <w:rsid w:val="240E5D2B"/>
    <w:rsid w:val="24137B5B"/>
    <w:rsid w:val="24176341"/>
    <w:rsid w:val="24194B93"/>
    <w:rsid w:val="241E1F2D"/>
    <w:rsid w:val="24211333"/>
    <w:rsid w:val="242461D7"/>
    <w:rsid w:val="24246A60"/>
    <w:rsid w:val="24255B0A"/>
    <w:rsid w:val="242752F5"/>
    <w:rsid w:val="242778EB"/>
    <w:rsid w:val="242A43E1"/>
    <w:rsid w:val="242C04D9"/>
    <w:rsid w:val="242E2FF6"/>
    <w:rsid w:val="242E7ECB"/>
    <w:rsid w:val="2437337B"/>
    <w:rsid w:val="243E6A2B"/>
    <w:rsid w:val="24401E98"/>
    <w:rsid w:val="2446648F"/>
    <w:rsid w:val="244B2AFB"/>
    <w:rsid w:val="244F2484"/>
    <w:rsid w:val="24506BD9"/>
    <w:rsid w:val="24507298"/>
    <w:rsid w:val="24550926"/>
    <w:rsid w:val="24574CEB"/>
    <w:rsid w:val="245D41D2"/>
    <w:rsid w:val="24667266"/>
    <w:rsid w:val="246E676E"/>
    <w:rsid w:val="24731A96"/>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C41BF"/>
    <w:rsid w:val="24B06136"/>
    <w:rsid w:val="24B631A8"/>
    <w:rsid w:val="24B93780"/>
    <w:rsid w:val="24BD38BA"/>
    <w:rsid w:val="24C0685F"/>
    <w:rsid w:val="24CD6DBE"/>
    <w:rsid w:val="24D20A06"/>
    <w:rsid w:val="24D51CDF"/>
    <w:rsid w:val="24E16B97"/>
    <w:rsid w:val="24E45B97"/>
    <w:rsid w:val="24E57853"/>
    <w:rsid w:val="24E77BE6"/>
    <w:rsid w:val="24F17428"/>
    <w:rsid w:val="24F2365A"/>
    <w:rsid w:val="24F24750"/>
    <w:rsid w:val="250253B9"/>
    <w:rsid w:val="250C5C6A"/>
    <w:rsid w:val="25101170"/>
    <w:rsid w:val="25165BAC"/>
    <w:rsid w:val="2517098B"/>
    <w:rsid w:val="25176627"/>
    <w:rsid w:val="251E0656"/>
    <w:rsid w:val="252053F9"/>
    <w:rsid w:val="25280B69"/>
    <w:rsid w:val="25280CBE"/>
    <w:rsid w:val="252A4786"/>
    <w:rsid w:val="25304AD5"/>
    <w:rsid w:val="25327207"/>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771B32"/>
    <w:rsid w:val="257C1A72"/>
    <w:rsid w:val="257C2374"/>
    <w:rsid w:val="257C76CA"/>
    <w:rsid w:val="257F18B5"/>
    <w:rsid w:val="25805FF5"/>
    <w:rsid w:val="25880457"/>
    <w:rsid w:val="258A3283"/>
    <w:rsid w:val="258E66DC"/>
    <w:rsid w:val="258F15BB"/>
    <w:rsid w:val="259231BD"/>
    <w:rsid w:val="259B0F56"/>
    <w:rsid w:val="25A77DD4"/>
    <w:rsid w:val="25AD3F3E"/>
    <w:rsid w:val="25AE0C1E"/>
    <w:rsid w:val="25BB6C64"/>
    <w:rsid w:val="25C87522"/>
    <w:rsid w:val="25C97301"/>
    <w:rsid w:val="25CC4C1C"/>
    <w:rsid w:val="25CD7961"/>
    <w:rsid w:val="25D33C43"/>
    <w:rsid w:val="25D64403"/>
    <w:rsid w:val="25DC0E91"/>
    <w:rsid w:val="25E32F35"/>
    <w:rsid w:val="25EB7CD4"/>
    <w:rsid w:val="25F04B7D"/>
    <w:rsid w:val="25F51596"/>
    <w:rsid w:val="25F67042"/>
    <w:rsid w:val="260054CC"/>
    <w:rsid w:val="26071C55"/>
    <w:rsid w:val="260A55DA"/>
    <w:rsid w:val="260B255C"/>
    <w:rsid w:val="2611495B"/>
    <w:rsid w:val="2618762A"/>
    <w:rsid w:val="26217848"/>
    <w:rsid w:val="2625247E"/>
    <w:rsid w:val="262B2F0B"/>
    <w:rsid w:val="262E20E8"/>
    <w:rsid w:val="262E34C1"/>
    <w:rsid w:val="263E0775"/>
    <w:rsid w:val="2640682F"/>
    <w:rsid w:val="26472F6E"/>
    <w:rsid w:val="264F2FA3"/>
    <w:rsid w:val="26510DB8"/>
    <w:rsid w:val="26531A21"/>
    <w:rsid w:val="265559D0"/>
    <w:rsid w:val="265A4DDA"/>
    <w:rsid w:val="266239C5"/>
    <w:rsid w:val="26626905"/>
    <w:rsid w:val="26667EB2"/>
    <w:rsid w:val="266B1FB8"/>
    <w:rsid w:val="267B7FD0"/>
    <w:rsid w:val="267E518B"/>
    <w:rsid w:val="26872779"/>
    <w:rsid w:val="26874AF8"/>
    <w:rsid w:val="2689029B"/>
    <w:rsid w:val="269478D8"/>
    <w:rsid w:val="26993F8A"/>
    <w:rsid w:val="269B3F13"/>
    <w:rsid w:val="269C594C"/>
    <w:rsid w:val="26A17EEF"/>
    <w:rsid w:val="26A4288C"/>
    <w:rsid w:val="26A608EC"/>
    <w:rsid w:val="26A63366"/>
    <w:rsid w:val="26A968B5"/>
    <w:rsid w:val="26AC5BFD"/>
    <w:rsid w:val="26AD7047"/>
    <w:rsid w:val="26B31383"/>
    <w:rsid w:val="26B9766D"/>
    <w:rsid w:val="26BA59F2"/>
    <w:rsid w:val="26BC1520"/>
    <w:rsid w:val="26BD1ECD"/>
    <w:rsid w:val="26C36DE5"/>
    <w:rsid w:val="26C9404D"/>
    <w:rsid w:val="26CD53A8"/>
    <w:rsid w:val="26D323BB"/>
    <w:rsid w:val="26D45590"/>
    <w:rsid w:val="26DB67F4"/>
    <w:rsid w:val="26E53AE2"/>
    <w:rsid w:val="26E706E3"/>
    <w:rsid w:val="26EA1BB0"/>
    <w:rsid w:val="26EB2849"/>
    <w:rsid w:val="26EB45E1"/>
    <w:rsid w:val="26F017B3"/>
    <w:rsid w:val="26F3146A"/>
    <w:rsid w:val="26F40E3F"/>
    <w:rsid w:val="26F40EBD"/>
    <w:rsid w:val="26F85687"/>
    <w:rsid w:val="26F973AB"/>
    <w:rsid w:val="26FA2DE3"/>
    <w:rsid w:val="26FF74CD"/>
    <w:rsid w:val="27003A4A"/>
    <w:rsid w:val="270404E8"/>
    <w:rsid w:val="27125B0D"/>
    <w:rsid w:val="27130E1A"/>
    <w:rsid w:val="271A3CFE"/>
    <w:rsid w:val="27222699"/>
    <w:rsid w:val="27240467"/>
    <w:rsid w:val="27262E16"/>
    <w:rsid w:val="272A3F42"/>
    <w:rsid w:val="273216D6"/>
    <w:rsid w:val="273666A6"/>
    <w:rsid w:val="273D1CBA"/>
    <w:rsid w:val="27462901"/>
    <w:rsid w:val="274730E2"/>
    <w:rsid w:val="2749419F"/>
    <w:rsid w:val="274A7B1A"/>
    <w:rsid w:val="2750726F"/>
    <w:rsid w:val="275439E1"/>
    <w:rsid w:val="275658F1"/>
    <w:rsid w:val="276142AB"/>
    <w:rsid w:val="27621C7A"/>
    <w:rsid w:val="27625732"/>
    <w:rsid w:val="27631640"/>
    <w:rsid w:val="276320D7"/>
    <w:rsid w:val="276F3D3A"/>
    <w:rsid w:val="27711B2C"/>
    <w:rsid w:val="27727EB7"/>
    <w:rsid w:val="27744B4E"/>
    <w:rsid w:val="277A5E6A"/>
    <w:rsid w:val="277E547B"/>
    <w:rsid w:val="278A6416"/>
    <w:rsid w:val="279408D2"/>
    <w:rsid w:val="279A1B15"/>
    <w:rsid w:val="279A2ED3"/>
    <w:rsid w:val="279C73CC"/>
    <w:rsid w:val="27A23025"/>
    <w:rsid w:val="27A46397"/>
    <w:rsid w:val="27B02558"/>
    <w:rsid w:val="27B027C6"/>
    <w:rsid w:val="27B03EC1"/>
    <w:rsid w:val="27B91021"/>
    <w:rsid w:val="27BA3133"/>
    <w:rsid w:val="27C06D17"/>
    <w:rsid w:val="27C66099"/>
    <w:rsid w:val="27CA7CDA"/>
    <w:rsid w:val="27DF1D24"/>
    <w:rsid w:val="27E30D7E"/>
    <w:rsid w:val="27E43C95"/>
    <w:rsid w:val="27F20EFC"/>
    <w:rsid w:val="27FB11A8"/>
    <w:rsid w:val="27FB4685"/>
    <w:rsid w:val="27FE4240"/>
    <w:rsid w:val="27FF2D7D"/>
    <w:rsid w:val="280008FF"/>
    <w:rsid w:val="28050D91"/>
    <w:rsid w:val="280A73A7"/>
    <w:rsid w:val="280B0292"/>
    <w:rsid w:val="281035C6"/>
    <w:rsid w:val="28140E2A"/>
    <w:rsid w:val="2824417F"/>
    <w:rsid w:val="28255041"/>
    <w:rsid w:val="282B1213"/>
    <w:rsid w:val="2835725E"/>
    <w:rsid w:val="283832F0"/>
    <w:rsid w:val="283A1E3E"/>
    <w:rsid w:val="283F0B9A"/>
    <w:rsid w:val="284543A1"/>
    <w:rsid w:val="284B01FC"/>
    <w:rsid w:val="28506F1C"/>
    <w:rsid w:val="285465E8"/>
    <w:rsid w:val="28553E1D"/>
    <w:rsid w:val="2859475D"/>
    <w:rsid w:val="2866568E"/>
    <w:rsid w:val="28693318"/>
    <w:rsid w:val="286B3B61"/>
    <w:rsid w:val="286C6B63"/>
    <w:rsid w:val="286D43F4"/>
    <w:rsid w:val="286F5A89"/>
    <w:rsid w:val="28754C0A"/>
    <w:rsid w:val="28765DD5"/>
    <w:rsid w:val="28795681"/>
    <w:rsid w:val="28821314"/>
    <w:rsid w:val="2891501A"/>
    <w:rsid w:val="28937E6D"/>
    <w:rsid w:val="289575D6"/>
    <w:rsid w:val="289C154A"/>
    <w:rsid w:val="28A172D2"/>
    <w:rsid w:val="28A66523"/>
    <w:rsid w:val="28AD2029"/>
    <w:rsid w:val="28AE4FA7"/>
    <w:rsid w:val="28B220F4"/>
    <w:rsid w:val="28B230D9"/>
    <w:rsid w:val="28B23E86"/>
    <w:rsid w:val="28BD44AE"/>
    <w:rsid w:val="28C075A4"/>
    <w:rsid w:val="28CE2A8C"/>
    <w:rsid w:val="28D139F1"/>
    <w:rsid w:val="28D5169B"/>
    <w:rsid w:val="28DA6C60"/>
    <w:rsid w:val="28DB0A30"/>
    <w:rsid w:val="28DD2C80"/>
    <w:rsid w:val="28E00B52"/>
    <w:rsid w:val="28E66C2D"/>
    <w:rsid w:val="28E9147E"/>
    <w:rsid w:val="28F00706"/>
    <w:rsid w:val="28F33F0D"/>
    <w:rsid w:val="28F72DB8"/>
    <w:rsid w:val="28F91877"/>
    <w:rsid w:val="28F925C2"/>
    <w:rsid w:val="28F95F71"/>
    <w:rsid w:val="28FE6A8A"/>
    <w:rsid w:val="29035F8A"/>
    <w:rsid w:val="290517ED"/>
    <w:rsid w:val="290753B9"/>
    <w:rsid w:val="291415DC"/>
    <w:rsid w:val="291712DF"/>
    <w:rsid w:val="29192BE8"/>
    <w:rsid w:val="291A0B21"/>
    <w:rsid w:val="291C432F"/>
    <w:rsid w:val="291D21EF"/>
    <w:rsid w:val="291F738B"/>
    <w:rsid w:val="29264B1F"/>
    <w:rsid w:val="29270605"/>
    <w:rsid w:val="292A140D"/>
    <w:rsid w:val="292A375F"/>
    <w:rsid w:val="29316984"/>
    <w:rsid w:val="293310A0"/>
    <w:rsid w:val="2938092A"/>
    <w:rsid w:val="293955A6"/>
    <w:rsid w:val="293966D9"/>
    <w:rsid w:val="29425246"/>
    <w:rsid w:val="2946144E"/>
    <w:rsid w:val="2946760C"/>
    <w:rsid w:val="29485EB7"/>
    <w:rsid w:val="29487D92"/>
    <w:rsid w:val="294A5BC8"/>
    <w:rsid w:val="29504176"/>
    <w:rsid w:val="29512FCE"/>
    <w:rsid w:val="29572948"/>
    <w:rsid w:val="296865F6"/>
    <w:rsid w:val="296B20A7"/>
    <w:rsid w:val="297D1A8B"/>
    <w:rsid w:val="29981CF5"/>
    <w:rsid w:val="299C6B98"/>
    <w:rsid w:val="29A4634A"/>
    <w:rsid w:val="29A84DD1"/>
    <w:rsid w:val="29A95FC5"/>
    <w:rsid w:val="29AA2390"/>
    <w:rsid w:val="29B23BCE"/>
    <w:rsid w:val="29B301F6"/>
    <w:rsid w:val="29B85AFC"/>
    <w:rsid w:val="29BA612B"/>
    <w:rsid w:val="29BB286D"/>
    <w:rsid w:val="29BB74AF"/>
    <w:rsid w:val="29BC2AA4"/>
    <w:rsid w:val="29BF2F72"/>
    <w:rsid w:val="29C37AC4"/>
    <w:rsid w:val="29CD2270"/>
    <w:rsid w:val="29D03220"/>
    <w:rsid w:val="29D0429A"/>
    <w:rsid w:val="29D22D87"/>
    <w:rsid w:val="29D873B9"/>
    <w:rsid w:val="29DA58FD"/>
    <w:rsid w:val="29DB020F"/>
    <w:rsid w:val="29DE0F27"/>
    <w:rsid w:val="29E06591"/>
    <w:rsid w:val="29E30048"/>
    <w:rsid w:val="29E64370"/>
    <w:rsid w:val="29E765AE"/>
    <w:rsid w:val="29EB2636"/>
    <w:rsid w:val="29ED4F50"/>
    <w:rsid w:val="29F26903"/>
    <w:rsid w:val="29F64A6B"/>
    <w:rsid w:val="29FB4537"/>
    <w:rsid w:val="29FD3742"/>
    <w:rsid w:val="2A06427E"/>
    <w:rsid w:val="2A0F1A72"/>
    <w:rsid w:val="2A0F7591"/>
    <w:rsid w:val="2A10104D"/>
    <w:rsid w:val="2A13176E"/>
    <w:rsid w:val="2A1723D3"/>
    <w:rsid w:val="2A196A56"/>
    <w:rsid w:val="2A1C361A"/>
    <w:rsid w:val="2A216713"/>
    <w:rsid w:val="2A220953"/>
    <w:rsid w:val="2A222BC6"/>
    <w:rsid w:val="2A2F350E"/>
    <w:rsid w:val="2A374404"/>
    <w:rsid w:val="2A3B063B"/>
    <w:rsid w:val="2A3E15CC"/>
    <w:rsid w:val="2A49761F"/>
    <w:rsid w:val="2A4C74B8"/>
    <w:rsid w:val="2A4F133B"/>
    <w:rsid w:val="2A4F49D1"/>
    <w:rsid w:val="2A500712"/>
    <w:rsid w:val="2A555ABC"/>
    <w:rsid w:val="2A5B21E2"/>
    <w:rsid w:val="2A5C5A20"/>
    <w:rsid w:val="2A600C13"/>
    <w:rsid w:val="2A60320F"/>
    <w:rsid w:val="2A627A42"/>
    <w:rsid w:val="2A630308"/>
    <w:rsid w:val="2A657762"/>
    <w:rsid w:val="2A676AD0"/>
    <w:rsid w:val="2A6808C0"/>
    <w:rsid w:val="2A687AA6"/>
    <w:rsid w:val="2A6A2073"/>
    <w:rsid w:val="2A7317FC"/>
    <w:rsid w:val="2A770CC7"/>
    <w:rsid w:val="2A7A022E"/>
    <w:rsid w:val="2A7B6C4A"/>
    <w:rsid w:val="2A8A27A6"/>
    <w:rsid w:val="2A8B1FCC"/>
    <w:rsid w:val="2A9303DF"/>
    <w:rsid w:val="2A9A66D4"/>
    <w:rsid w:val="2AA1007B"/>
    <w:rsid w:val="2AA12DD3"/>
    <w:rsid w:val="2AA20EED"/>
    <w:rsid w:val="2AAA0BE0"/>
    <w:rsid w:val="2AAA29AB"/>
    <w:rsid w:val="2AAA4B39"/>
    <w:rsid w:val="2AAB1744"/>
    <w:rsid w:val="2AAC36BD"/>
    <w:rsid w:val="2AB04937"/>
    <w:rsid w:val="2AB1542B"/>
    <w:rsid w:val="2AB86677"/>
    <w:rsid w:val="2ABA266F"/>
    <w:rsid w:val="2ABC2E55"/>
    <w:rsid w:val="2AC90132"/>
    <w:rsid w:val="2ACF5AEC"/>
    <w:rsid w:val="2AD043F8"/>
    <w:rsid w:val="2AD62AB0"/>
    <w:rsid w:val="2ADC1447"/>
    <w:rsid w:val="2ADE1583"/>
    <w:rsid w:val="2AE70523"/>
    <w:rsid w:val="2AE87E10"/>
    <w:rsid w:val="2AF12CDF"/>
    <w:rsid w:val="2AF27DCB"/>
    <w:rsid w:val="2AF92B4F"/>
    <w:rsid w:val="2AFC24E6"/>
    <w:rsid w:val="2B0726A6"/>
    <w:rsid w:val="2B090320"/>
    <w:rsid w:val="2B0C6B23"/>
    <w:rsid w:val="2B19210F"/>
    <w:rsid w:val="2B1D6F4B"/>
    <w:rsid w:val="2B2628D4"/>
    <w:rsid w:val="2B2B5653"/>
    <w:rsid w:val="2B2D1363"/>
    <w:rsid w:val="2B306C2A"/>
    <w:rsid w:val="2B335E16"/>
    <w:rsid w:val="2B3429F1"/>
    <w:rsid w:val="2B3A1DF7"/>
    <w:rsid w:val="2B3B71ED"/>
    <w:rsid w:val="2B42025A"/>
    <w:rsid w:val="2B450516"/>
    <w:rsid w:val="2B4526E2"/>
    <w:rsid w:val="2B4722C4"/>
    <w:rsid w:val="2B4F4A14"/>
    <w:rsid w:val="2B592A46"/>
    <w:rsid w:val="2B5B7165"/>
    <w:rsid w:val="2B611B55"/>
    <w:rsid w:val="2B662258"/>
    <w:rsid w:val="2B686C09"/>
    <w:rsid w:val="2B795BD8"/>
    <w:rsid w:val="2B8311DA"/>
    <w:rsid w:val="2B8759DF"/>
    <w:rsid w:val="2B8B34AB"/>
    <w:rsid w:val="2B914C5E"/>
    <w:rsid w:val="2BA252E6"/>
    <w:rsid w:val="2BA53554"/>
    <w:rsid w:val="2BAC4FE7"/>
    <w:rsid w:val="2BB0363B"/>
    <w:rsid w:val="2BB44220"/>
    <w:rsid w:val="2BB61EA7"/>
    <w:rsid w:val="2BBA6EF5"/>
    <w:rsid w:val="2BBD5502"/>
    <w:rsid w:val="2BBE53B4"/>
    <w:rsid w:val="2BC03979"/>
    <w:rsid w:val="2BC42FBB"/>
    <w:rsid w:val="2BC873B9"/>
    <w:rsid w:val="2BC941AF"/>
    <w:rsid w:val="2BD01C8D"/>
    <w:rsid w:val="2BDC02CD"/>
    <w:rsid w:val="2BDD1105"/>
    <w:rsid w:val="2BDF4442"/>
    <w:rsid w:val="2BE64A3E"/>
    <w:rsid w:val="2BEC4F7F"/>
    <w:rsid w:val="2BF00C4E"/>
    <w:rsid w:val="2BF01DD3"/>
    <w:rsid w:val="2BF51B27"/>
    <w:rsid w:val="2BF52156"/>
    <w:rsid w:val="2BFE035B"/>
    <w:rsid w:val="2C005788"/>
    <w:rsid w:val="2C11705A"/>
    <w:rsid w:val="2C1216FD"/>
    <w:rsid w:val="2C1A4267"/>
    <w:rsid w:val="2C1D636E"/>
    <w:rsid w:val="2C1F2C4F"/>
    <w:rsid w:val="2C1F7DED"/>
    <w:rsid w:val="2C2062AE"/>
    <w:rsid w:val="2C212418"/>
    <w:rsid w:val="2C23745C"/>
    <w:rsid w:val="2C253658"/>
    <w:rsid w:val="2C274174"/>
    <w:rsid w:val="2C2F1705"/>
    <w:rsid w:val="2C31232B"/>
    <w:rsid w:val="2C3147DC"/>
    <w:rsid w:val="2C395B9E"/>
    <w:rsid w:val="2C3B4053"/>
    <w:rsid w:val="2C410F87"/>
    <w:rsid w:val="2C416890"/>
    <w:rsid w:val="2C416E6F"/>
    <w:rsid w:val="2C4725E8"/>
    <w:rsid w:val="2C4D767D"/>
    <w:rsid w:val="2C5514C6"/>
    <w:rsid w:val="2C5B6D3D"/>
    <w:rsid w:val="2C5C2032"/>
    <w:rsid w:val="2C5E21B4"/>
    <w:rsid w:val="2C5F0C97"/>
    <w:rsid w:val="2C5F550C"/>
    <w:rsid w:val="2C677A44"/>
    <w:rsid w:val="2C6B4038"/>
    <w:rsid w:val="2C72088D"/>
    <w:rsid w:val="2C7A3BB0"/>
    <w:rsid w:val="2C7A4688"/>
    <w:rsid w:val="2C7B3727"/>
    <w:rsid w:val="2C7D6665"/>
    <w:rsid w:val="2C7E0668"/>
    <w:rsid w:val="2C7E4570"/>
    <w:rsid w:val="2C865A05"/>
    <w:rsid w:val="2C8B0557"/>
    <w:rsid w:val="2C982697"/>
    <w:rsid w:val="2C9A28D3"/>
    <w:rsid w:val="2C9F1C78"/>
    <w:rsid w:val="2CBC4209"/>
    <w:rsid w:val="2CC12D54"/>
    <w:rsid w:val="2CC9742A"/>
    <w:rsid w:val="2CCB3003"/>
    <w:rsid w:val="2CD17849"/>
    <w:rsid w:val="2CD47078"/>
    <w:rsid w:val="2CDA4FDA"/>
    <w:rsid w:val="2CDC7091"/>
    <w:rsid w:val="2CE128DC"/>
    <w:rsid w:val="2CE16D71"/>
    <w:rsid w:val="2CE27F26"/>
    <w:rsid w:val="2CED6828"/>
    <w:rsid w:val="2CF4201A"/>
    <w:rsid w:val="2CF8269C"/>
    <w:rsid w:val="2CFC7029"/>
    <w:rsid w:val="2CFD5C64"/>
    <w:rsid w:val="2D0128E8"/>
    <w:rsid w:val="2D0450C7"/>
    <w:rsid w:val="2D055D4A"/>
    <w:rsid w:val="2D0A65F3"/>
    <w:rsid w:val="2D0C5A2F"/>
    <w:rsid w:val="2D0E231B"/>
    <w:rsid w:val="2D145154"/>
    <w:rsid w:val="2D1A1A6B"/>
    <w:rsid w:val="2D1A4915"/>
    <w:rsid w:val="2D1C670F"/>
    <w:rsid w:val="2D210212"/>
    <w:rsid w:val="2D306B85"/>
    <w:rsid w:val="2D313196"/>
    <w:rsid w:val="2D323D75"/>
    <w:rsid w:val="2D3F06B2"/>
    <w:rsid w:val="2D400A9F"/>
    <w:rsid w:val="2D540857"/>
    <w:rsid w:val="2D590555"/>
    <w:rsid w:val="2D621C05"/>
    <w:rsid w:val="2D726428"/>
    <w:rsid w:val="2D770975"/>
    <w:rsid w:val="2D7A06F1"/>
    <w:rsid w:val="2D8151A4"/>
    <w:rsid w:val="2DA02E9C"/>
    <w:rsid w:val="2DAC4521"/>
    <w:rsid w:val="2DBB1852"/>
    <w:rsid w:val="2DBF0C3E"/>
    <w:rsid w:val="2DBF1601"/>
    <w:rsid w:val="2DBF44A4"/>
    <w:rsid w:val="2DBF4C3A"/>
    <w:rsid w:val="2DC464AC"/>
    <w:rsid w:val="2DC74F1E"/>
    <w:rsid w:val="2DD06A7C"/>
    <w:rsid w:val="2DD06AF3"/>
    <w:rsid w:val="2DDD1D4C"/>
    <w:rsid w:val="2DE66249"/>
    <w:rsid w:val="2DEA21A7"/>
    <w:rsid w:val="2DF04CFF"/>
    <w:rsid w:val="2DF6091F"/>
    <w:rsid w:val="2DF77C3F"/>
    <w:rsid w:val="2DF80479"/>
    <w:rsid w:val="2DFA6574"/>
    <w:rsid w:val="2DFB6F69"/>
    <w:rsid w:val="2E001622"/>
    <w:rsid w:val="2E0062BD"/>
    <w:rsid w:val="2E040A80"/>
    <w:rsid w:val="2E095C19"/>
    <w:rsid w:val="2E0F3A78"/>
    <w:rsid w:val="2E1530A6"/>
    <w:rsid w:val="2E160B5E"/>
    <w:rsid w:val="2E1859B1"/>
    <w:rsid w:val="2E190FE7"/>
    <w:rsid w:val="2E195433"/>
    <w:rsid w:val="2E2630D7"/>
    <w:rsid w:val="2E275653"/>
    <w:rsid w:val="2E2806DD"/>
    <w:rsid w:val="2E2A4425"/>
    <w:rsid w:val="2E2F3046"/>
    <w:rsid w:val="2E302808"/>
    <w:rsid w:val="2E3A2892"/>
    <w:rsid w:val="2E3A3030"/>
    <w:rsid w:val="2E3C084B"/>
    <w:rsid w:val="2E46069F"/>
    <w:rsid w:val="2E4B21B3"/>
    <w:rsid w:val="2E553370"/>
    <w:rsid w:val="2E556C0A"/>
    <w:rsid w:val="2E5608F9"/>
    <w:rsid w:val="2E570E04"/>
    <w:rsid w:val="2E59206F"/>
    <w:rsid w:val="2E601EB6"/>
    <w:rsid w:val="2E6626EB"/>
    <w:rsid w:val="2E6703F9"/>
    <w:rsid w:val="2E6B29AA"/>
    <w:rsid w:val="2E6F4813"/>
    <w:rsid w:val="2E705752"/>
    <w:rsid w:val="2E736411"/>
    <w:rsid w:val="2E7622E7"/>
    <w:rsid w:val="2E791B9C"/>
    <w:rsid w:val="2E7A5E34"/>
    <w:rsid w:val="2E7B51F7"/>
    <w:rsid w:val="2E7B65BB"/>
    <w:rsid w:val="2E7D4B13"/>
    <w:rsid w:val="2E855C37"/>
    <w:rsid w:val="2E884911"/>
    <w:rsid w:val="2E8863A8"/>
    <w:rsid w:val="2E8B3A26"/>
    <w:rsid w:val="2E8C7BEE"/>
    <w:rsid w:val="2E8F09A4"/>
    <w:rsid w:val="2E914A07"/>
    <w:rsid w:val="2E993370"/>
    <w:rsid w:val="2E9A086A"/>
    <w:rsid w:val="2E9A69ED"/>
    <w:rsid w:val="2E9B22A9"/>
    <w:rsid w:val="2EA049A8"/>
    <w:rsid w:val="2EA26ABE"/>
    <w:rsid w:val="2EA72F10"/>
    <w:rsid w:val="2EA74B75"/>
    <w:rsid w:val="2EB61295"/>
    <w:rsid w:val="2EB941A6"/>
    <w:rsid w:val="2EC414ED"/>
    <w:rsid w:val="2EC71A13"/>
    <w:rsid w:val="2EC722DC"/>
    <w:rsid w:val="2EC9437A"/>
    <w:rsid w:val="2EDC714E"/>
    <w:rsid w:val="2EEA307E"/>
    <w:rsid w:val="2EEF6737"/>
    <w:rsid w:val="2EF276DC"/>
    <w:rsid w:val="2EF53C20"/>
    <w:rsid w:val="2EFC5DDD"/>
    <w:rsid w:val="2F002CCF"/>
    <w:rsid w:val="2F0160A3"/>
    <w:rsid w:val="2F18561C"/>
    <w:rsid w:val="2F1A491A"/>
    <w:rsid w:val="2F1C3DF5"/>
    <w:rsid w:val="2F284812"/>
    <w:rsid w:val="2F2960CC"/>
    <w:rsid w:val="2F2F3D52"/>
    <w:rsid w:val="2F3B7B8B"/>
    <w:rsid w:val="2F3D481A"/>
    <w:rsid w:val="2F407763"/>
    <w:rsid w:val="2F417C99"/>
    <w:rsid w:val="2F44254B"/>
    <w:rsid w:val="2F4530B9"/>
    <w:rsid w:val="2F47449B"/>
    <w:rsid w:val="2F4B7821"/>
    <w:rsid w:val="2F4D774F"/>
    <w:rsid w:val="2F526911"/>
    <w:rsid w:val="2F5741FD"/>
    <w:rsid w:val="2F57587A"/>
    <w:rsid w:val="2F59227E"/>
    <w:rsid w:val="2F5E1A24"/>
    <w:rsid w:val="2F615954"/>
    <w:rsid w:val="2F6324D7"/>
    <w:rsid w:val="2F712CF7"/>
    <w:rsid w:val="2F726B1A"/>
    <w:rsid w:val="2F727813"/>
    <w:rsid w:val="2F796F4C"/>
    <w:rsid w:val="2F7B54EA"/>
    <w:rsid w:val="2F805714"/>
    <w:rsid w:val="2F811998"/>
    <w:rsid w:val="2F8640C4"/>
    <w:rsid w:val="2F8E5F5C"/>
    <w:rsid w:val="2F921FAC"/>
    <w:rsid w:val="2FA12C61"/>
    <w:rsid w:val="2FA21231"/>
    <w:rsid w:val="2FAD4759"/>
    <w:rsid w:val="2FAD5866"/>
    <w:rsid w:val="2FAE1EFC"/>
    <w:rsid w:val="2FB4059E"/>
    <w:rsid w:val="2FB46FC7"/>
    <w:rsid w:val="2FB91323"/>
    <w:rsid w:val="2FC6643E"/>
    <w:rsid w:val="2FCA0967"/>
    <w:rsid w:val="2FCE6A6F"/>
    <w:rsid w:val="2FD6133F"/>
    <w:rsid w:val="2FD7115C"/>
    <w:rsid w:val="2FD84674"/>
    <w:rsid w:val="2FDB17E1"/>
    <w:rsid w:val="2FE20568"/>
    <w:rsid w:val="2FE37171"/>
    <w:rsid w:val="2FE7659F"/>
    <w:rsid w:val="2FF117AD"/>
    <w:rsid w:val="2FF17999"/>
    <w:rsid w:val="2FF335AC"/>
    <w:rsid w:val="2FF40BAE"/>
    <w:rsid w:val="2FF95633"/>
    <w:rsid w:val="2FFD391C"/>
    <w:rsid w:val="30010F70"/>
    <w:rsid w:val="30033D52"/>
    <w:rsid w:val="300F7F13"/>
    <w:rsid w:val="30146B19"/>
    <w:rsid w:val="30151A88"/>
    <w:rsid w:val="301C0A49"/>
    <w:rsid w:val="301E3C00"/>
    <w:rsid w:val="302757BF"/>
    <w:rsid w:val="302E1CAD"/>
    <w:rsid w:val="302F0C7E"/>
    <w:rsid w:val="30354430"/>
    <w:rsid w:val="30365E36"/>
    <w:rsid w:val="303B62EC"/>
    <w:rsid w:val="303F616B"/>
    <w:rsid w:val="3042736A"/>
    <w:rsid w:val="3045713F"/>
    <w:rsid w:val="30486EA7"/>
    <w:rsid w:val="304F02D9"/>
    <w:rsid w:val="30500A5C"/>
    <w:rsid w:val="305447A9"/>
    <w:rsid w:val="305F558E"/>
    <w:rsid w:val="306B4848"/>
    <w:rsid w:val="30752E77"/>
    <w:rsid w:val="308018A6"/>
    <w:rsid w:val="30804E19"/>
    <w:rsid w:val="3090288F"/>
    <w:rsid w:val="30921E98"/>
    <w:rsid w:val="30980DA8"/>
    <w:rsid w:val="309B0CFB"/>
    <w:rsid w:val="309B2EEC"/>
    <w:rsid w:val="309E4272"/>
    <w:rsid w:val="30AE56DC"/>
    <w:rsid w:val="30B7307E"/>
    <w:rsid w:val="30BB5407"/>
    <w:rsid w:val="30BF034E"/>
    <w:rsid w:val="30C21A0E"/>
    <w:rsid w:val="30CC6F9C"/>
    <w:rsid w:val="30DC45E8"/>
    <w:rsid w:val="30DD6027"/>
    <w:rsid w:val="30DE16AB"/>
    <w:rsid w:val="30E1221A"/>
    <w:rsid w:val="30E734EF"/>
    <w:rsid w:val="30EB4922"/>
    <w:rsid w:val="30F24AB3"/>
    <w:rsid w:val="30F44A95"/>
    <w:rsid w:val="30F77A98"/>
    <w:rsid w:val="30FA21D8"/>
    <w:rsid w:val="30FC2A23"/>
    <w:rsid w:val="31154308"/>
    <w:rsid w:val="31197ABC"/>
    <w:rsid w:val="311A3CEA"/>
    <w:rsid w:val="311D5B14"/>
    <w:rsid w:val="311F25AE"/>
    <w:rsid w:val="312723F9"/>
    <w:rsid w:val="312D0545"/>
    <w:rsid w:val="312D1F98"/>
    <w:rsid w:val="3136546A"/>
    <w:rsid w:val="313A7B85"/>
    <w:rsid w:val="313E22A6"/>
    <w:rsid w:val="31412F85"/>
    <w:rsid w:val="31454E97"/>
    <w:rsid w:val="314A019C"/>
    <w:rsid w:val="314E27D6"/>
    <w:rsid w:val="31514FC5"/>
    <w:rsid w:val="31551BC1"/>
    <w:rsid w:val="31584385"/>
    <w:rsid w:val="315D7DEC"/>
    <w:rsid w:val="31610A33"/>
    <w:rsid w:val="31624EDC"/>
    <w:rsid w:val="31647576"/>
    <w:rsid w:val="31665E5D"/>
    <w:rsid w:val="31672771"/>
    <w:rsid w:val="3169373B"/>
    <w:rsid w:val="316B0F75"/>
    <w:rsid w:val="316D6213"/>
    <w:rsid w:val="316D6950"/>
    <w:rsid w:val="316E417C"/>
    <w:rsid w:val="31712ADE"/>
    <w:rsid w:val="3171328C"/>
    <w:rsid w:val="317477EC"/>
    <w:rsid w:val="317A322A"/>
    <w:rsid w:val="317A7B84"/>
    <w:rsid w:val="31822EAF"/>
    <w:rsid w:val="31840D12"/>
    <w:rsid w:val="31846FF6"/>
    <w:rsid w:val="31847598"/>
    <w:rsid w:val="318854B9"/>
    <w:rsid w:val="319268E9"/>
    <w:rsid w:val="319377B4"/>
    <w:rsid w:val="319B3834"/>
    <w:rsid w:val="319D6381"/>
    <w:rsid w:val="31A53A0B"/>
    <w:rsid w:val="31A7307B"/>
    <w:rsid w:val="31A94576"/>
    <w:rsid w:val="31AC04E5"/>
    <w:rsid w:val="31AC2EA3"/>
    <w:rsid w:val="31B23BA8"/>
    <w:rsid w:val="31C363A1"/>
    <w:rsid w:val="31CA5CF8"/>
    <w:rsid w:val="31CB26CD"/>
    <w:rsid w:val="31CF2CD1"/>
    <w:rsid w:val="31D06A52"/>
    <w:rsid w:val="31D216CC"/>
    <w:rsid w:val="31E302B9"/>
    <w:rsid w:val="31E83A8A"/>
    <w:rsid w:val="31F20023"/>
    <w:rsid w:val="31F31FF7"/>
    <w:rsid w:val="31F52FE4"/>
    <w:rsid w:val="31F536F7"/>
    <w:rsid w:val="31F82042"/>
    <w:rsid w:val="31FA7AEE"/>
    <w:rsid w:val="31FB60C5"/>
    <w:rsid w:val="32021A78"/>
    <w:rsid w:val="3209100C"/>
    <w:rsid w:val="321E250B"/>
    <w:rsid w:val="32226597"/>
    <w:rsid w:val="322A5516"/>
    <w:rsid w:val="322B6C88"/>
    <w:rsid w:val="322C6DC4"/>
    <w:rsid w:val="3238698E"/>
    <w:rsid w:val="32390E17"/>
    <w:rsid w:val="323E5B9E"/>
    <w:rsid w:val="324968A9"/>
    <w:rsid w:val="324C11A1"/>
    <w:rsid w:val="324F1DD8"/>
    <w:rsid w:val="32515BC8"/>
    <w:rsid w:val="32530F81"/>
    <w:rsid w:val="32544043"/>
    <w:rsid w:val="32560524"/>
    <w:rsid w:val="325614E5"/>
    <w:rsid w:val="32576A33"/>
    <w:rsid w:val="3259293C"/>
    <w:rsid w:val="325E5514"/>
    <w:rsid w:val="32637AAD"/>
    <w:rsid w:val="32651EE8"/>
    <w:rsid w:val="32666821"/>
    <w:rsid w:val="326718A4"/>
    <w:rsid w:val="32694229"/>
    <w:rsid w:val="326A18B1"/>
    <w:rsid w:val="326A4050"/>
    <w:rsid w:val="326B7BBB"/>
    <w:rsid w:val="3272101B"/>
    <w:rsid w:val="32722131"/>
    <w:rsid w:val="327A3DD6"/>
    <w:rsid w:val="327E6AD8"/>
    <w:rsid w:val="328301EA"/>
    <w:rsid w:val="32864FED"/>
    <w:rsid w:val="32926F1E"/>
    <w:rsid w:val="32946A84"/>
    <w:rsid w:val="329747D6"/>
    <w:rsid w:val="329927A4"/>
    <w:rsid w:val="329B3044"/>
    <w:rsid w:val="32AC6196"/>
    <w:rsid w:val="32AF5A06"/>
    <w:rsid w:val="32B22C9D"/>
    <w:rsid w:val="32BA631C"/>
    <w:rsid w:val="32BC6631"/>
    <w:rsid w:val="32C05B65"/>
    <w:rsid w:val="32C6418D"/>
    <w:rsid w:val="32CF3588"/>
    <w:rsid w:val="32D14A7F"/>
    <w:rsid w:val="32D26AE6"/>
    <w:rsid w:val="32D733FA"/>
    <w:rsid w:val="32DE353D"/>
    <w:rsid w:val="32E148E8"/>
    <w:rsid w:val="32E343F6"/>
    <w:rsid w:val="32E921F0"/>
    <w:rsid w:val="32F76D5D"/>
    <w:rsid w:val="32F825DE"/>
    <w:rsid w:val="32F86450"/>
    <w:rsid w:val="330066D7"/>
    <w:rsid w:val="330244A4"/>
    <w:rsid w:val="3304026E"/>
    <w:rsid w:val="33066388"/>
    <w:rsid w:val="330F1E44"/>
    <w:rsid w:val="331747E7"/>
    <w:rsid w:val="331B37C6"/>
    <w:rsid w:val="331C390F"/>
    <w:rsid w:val="33222F7E"/>
    <w:rsid w:val="33231C09"/>
    <w:rsid w:val="332D624D"/>
    <w:rsid w:val="333A0536"/>
    <w:rsid w:val="333E0FE1"/>
    <w:rsid w:val="333F0B89"/>
    <w:rsid w:val="333F4C47"/>
    <w:rsid w:val="333F6941"/>
    <w:rsid w:val="33444CAD"/>
    <w:rsid w:val="334D7767"/>
    <w:rsid w:val="335C246D"/>
    <w:rsid w:val="33610DDA"/>
    <w:rsid w:val="3362171F"/>
    <w:rsid w:val="3366319E"/>
    <w:rsid w:val="336A11D9"/>
    <w:rsid w:val="336C2B69"/>
    <w:rsid w:val="336F5120"/>
    <w:rsid w:val="337009B5"/>
    <w:rsid w:val="33724973"/>
    <w:rsid w:val="337333AD"/>
    <w:rsid w:val="33767D1F"/>
    <w:rsid w:val="337F446B"/>
    <w:rsid w:val="338D4CD1"/>
    <w:rsid w:val="338E29B0"/>
    <w:rsid w:val="338F74B8"/>
    <w:rsid w:val="3390342D"/>
    <w:rsid w:val="33907648"/>
    <w:rsid w:val="33924A39"/>
    <w:rsid w:val="3397281E"/>
    <w:rsid w:val="339902E6"/>
    <w:rsid w:val="339D35FC"/>
    <w:rsid w:val="33A156DE"/>
    <w:rsid w:val="33B52233"/>
    <w:rsid w:val="33B70359"/>
    <w:rsid w:val="33BA1B32"/>
    <w:rsid w:val="33BE01F6"/>
    <w:rsid w:val="33BF7141"/>
    <w:rsid w:val="33CB205A"/>
    <w:rsid w:val="33D31CFB"/>
    <w:rsid w:val="33D451B9"/>
    <w:rsid w:val="33E20DF0"/>
    <w:rsid w:val="33E570DD"/>
    <w:rsid w:val="33EA5517"/>
    <w:rsid w:val="33EE5E44"/>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91C89"/>
    <w:rsid w:val="341E635E"/>
    <w:rsid w:val="342375E0"/>
    <w:rsid w:val="34260D3D"/>
    <w:rsid w:val="342D3CE2"/>
    <w:rsid w:val="34333AFC"/>
    <w:rsid w:val="34343D6C"/>
    <w:rsid w:val="34347DC5"/>
    <w:rsid w:val="34380493"/>
    <w:rsid w:val="34463967"/>
    <w:rsid w:val="344C08D2"/>
    <w:rsid w:val="345543D1"/>
    <w:rsid w:val="34564E8B"/>
    <w:rsid w:val="345A1F55"/>
    <w:rsid w:val="345A7367"/>
    <w:rsid w:val="345D2CD0"/>
    <w:rsid w:val="346C0AEA"/>
    <w:rsid w:val="3473748E"/>
    <w:rsid w:val="3474594A"/>
    <w:rsid w:val="347F540F"/>
    <w:rsid w:val="34863322"/>
    <w:rsid w:val="34885DB3"/>
    <w:rsid w:val="348F0ED3"/>
    <w:rsid w:val="348F7A0E"/>
    <w:rsid w:val="34975090"/>
    <w:rsid w:val="349A0B7D"/>
    <w:rsid w:val="34A851E8"/>
    <w:rsid w:val="34A92857"/>
    <w:rsid w:val="34A94ADA"/>
    <w:rsid w:val="34A97BFE"/>
    <w:rsid w:val="34B51A96"/>
    <w:rsid w:val="34BF1CD4"/>
    <w:rsid w:val="34C800BD"/>
    <w:rsid w:val="34C936CD"/>
    <w:rsid w:val="34CC1DC7"/>
    <w:rsid w:val="34D47C8A"/>
    <w:rsid w:val="34D874E5"/>
    <w:rsid w:val="34DB0CAC"/>
    <w:rsid w:val="34DD3DF9"/>
    <w:rsid w:val="34E972FC"/>
    <w:rsid w:val="34F83EF3"/>
    <w:rsid w:val="34F953E0"/>
    <w:rsid w:val="34FB3AF7"/>
    <w:rsid w:val="34FF2166"/>
    <w:rsid w:val="3503286C"/>
    <w:rsid w:val="350A773D"/>
    <w:rsid w:val="350B4102"/>
    <w:rsid w:val="350B69C5"/>
    <w:rsid w:val="350F2D16"/>
    <w:rsid w:val="351C075B"/>
    <w:rsid w:val="351E33A2"/>
    <w:rsid w:val="35200E70"/>
    <w:rsid w:val="352147D7"/>
    <w:rsid w:val="35233F18"/>
    <w:rsid w:val="352349AE"/>
    <w:rsid w:val="3524348B"/>
    <w:rsid w:val="35295D65"/>
    <w:rsid w:val="352B5169"/>
    <w:rsid w:val="353230EA"/>
    <w:rsid w:val="35333FF2"/>
    <w:rsid w:val="353834AB"/>
    <w:rsid w:val="3539596F"/>
    <w:rsid w:val="35397499"/>
    <w:rsid w:val="353C4905"/>
    <w:rsid w:val="353C75ED"/>
    <w:rsid w:val="353E791E"/>
    <w:rsid w:val="354008AB"/>
    <w:rsid w:val="354966A2"/>
    <w:rsid w:val="354C4A97"/>
    <w:rsid w:val="354C7B38"/>
    <w:rsid w:val="354F28B8"/>
    <w:rsid w:val="35502300"/>
    <w:rsid w:val="35535CBB"/>
    <w:rsid w:val="355578D9"/>
    <w:rsid w:val="35562F9E"/>
    <w:rsid w:val="35581BA8"/>
    <w:rsid w:val="355B280E"/>
    <w:rsid w:val="355B3BD4"/>
    <w:rsid w:val="355B61CB"/>
    <w:rsid w:val="355D687A"/>
    <w:rsid w:val="356161F3"/>
    <w:rsid w:val="356849C3"/>
    <w:rsid w:val="35691707"/>
    <w:rsid w:val="356A4D65"/>
    <w:rsid w:val="356B1954"/>
    <w:rsid w:val="35744059"/>
    <w:rsid w:val="35771AC2"/>
    <w:rsid w:val="357960B4"/>
    <w:rsid w:val="35796C07"/>
    <w:rsid w:val="358323BB"/>
    <w:rsid w:val="358618B0"/>
    <w:rsid w:val="3589285D"/>
    <w:rsid w:val="35967E5E"/>
    <w:rsid w:val="35981386"/>
    <w:rsid w:val="359C1F6C"/>
    <w:rsid w:val="35A02A2E"/>
    <w:rsid w:val="35A0338E"/>
    <w:rsid w:val="35A16611"/>
    <w:rsid w:val="35A31A0A"/>
    <w:rsid w:val="35A57D9C"/>
    <w:rsid w:val="35A974EC"/>
    <w:rsid w:val="35AB5D7D"/>
    <w:rsid w:val="35B31B82"/>
    <w:rsid w:val="35B900B0"/>
    <w:rsid w:val="35C154C0"/>
    <w:rsid w:val="35C7584B"/>
    <w:rsid w:val="35D2581D"/>
    <w:rsid w:val="35D31DE1"/>
    <w:rsid w:val="35D361F7"/>
    <w:rsid w:val="35D801CA"/>
    <w:rsid w:val="35DD2AEE"/>
    <w:rsid w:val="35E425DA"/>
    <w:rsid w:val="35E46823"/>
    <w:rsid w:val="35EA6509"/>
    <w:rsid w:val="35ED04DC"/>
    <w:rsid w:val="35F44E5C"/>
    <w:rsid w:val="35F45994"/>
    <w:rsid w:val="35F8217F"/>
    <w:rsid w:val="3602050E"/>
    <w:rsid w:val="36077B5A"/>
    <w:rsid w:val="36101A49"/>
    <w:rsid w:val="36163688"/>
    <w:rsid w:val="361A2F27"/>
    <w:rsid w:val="3624711B"/>
    <w:rsid w:val="36265F04"/>
    <w:rsid w:val="36266913"/>
    <w:rsid w:val="362952D6"/>
    <w:rsid w:val="36297754"/>
    <w:rsid w:val="362F3A87"/>
    <w:rsid w:val="363210F7"/>
    <w:rsid w:val="363F4D43"/>
    <w:rsid w:val="3640112F"/>
    <w:rsid w:val="36407BF2"/>
    <w:rsid w:val="36486576"/>
    <w:rsid w:val="36497625"/>
    <w:rsid w:val="364A08D8"/>
    <w:rsid w:val="364B2312"/>
    <w:rsid w:val="364F7BB1"/>
    <w:rsid w:val="365050C8"/>
    <w:rsid w:val="365955CF"/>
    <w:rsid w:val="365C0DF8"/>
    <w:rsid w:val="365F765A"/>
    <w:rsid w:val="36627C0A"/>
    <w:rsid w:val="36642D30"/>
    <w:rsid w:val="36693B36"/>
    <w:rsid w:val="366B0AAA"/>
    <w:rsid w:val="366B6257"/>
    <w:rsid w:val="366D49A8"/>
    <w:rsid w:val="36701C31"/>
    <w:rsid w:val="36720A4C"/>
    <w:rsid w:val="36752210"/>
    <w:rsid w:val="3681695C"/>
    <w:rsid w:val="36820E97"/>
    <w:rsid w:val="36884498"/>
    <w:rsid w:val="36922B55"/>
    <w:rsid w:val="36991125"/>
    <w:rsid w:val="369C60C5"/>
    <w:rsid w:val="369E44B4"/>
    <w:rsid w:val="36A312B2"/>
    <w:rsid w:val="36A35C4C"/>
    <w:rsid w:val="36A5021A"/>
    <w:rsid w:val="36A9265A"/>
    <w:rsid w:val="36A9393B"/>
    <w:rsid w:val="36AA239C"/>
    <w:rsid w:val="36AF3E2B"/>
    <w:rsid w:val="36B121C7"/>
    <w:rsid w:val="36B2486C"/>
    <w:rsid w:val="36B307B1"/>
    <w:rsid w:val="36BA14F4"/>
    <w:rsid w:val="36C45C2A"/>
    <w:rsid w:val="36CB04A2"/>
    <w:rsid w:val="36D009E5"/>
    <w:rsid w:val="36D27C18"/>
    <w:rsid w:val="36D512A9"/>
    <w:rsid w:val="36D85209"/>
    <w:rsid w:val="36D934D3"/>
    <w:rsid w:val="36D94280"/>
    <w:rsid w:val="36DA1950"/>
    <w:rsid w:val="36DE2053"/>
    <w:rsid w:val="36E07ED3"/>
    <w:rsid w:val="36E222AF"/>
    <w:rsid w:val="36F03F0E"/>
    <w:rsid w:val="36F414F3"/>
    <w:rsid w:val="36F902E0"/>
    <w:rsid w:val="36FA13B3"/>
    <w:rsid w:val="37002C93"/>
    <w:rsid w:val="37021B28"/>
    <w:rsid w:val="37086DBC"/>
    <w:rsid w:val="370974B4"/>
    <w:rsid w:val="370D0F30"/>
    <w:rsid w:val="37126487"/>
    <w:rsid w:val="371A5A8E"/>
    <w:rsid w:val="371B03AE"/>
    <w:rsid w:val="371E6151"/>
    <w:rsid w:val="37200042"/>
    <w:rsid w:val="37271A7B"/>
    <w:rsid w:val="37277663"/>
    <w:rsid w:val="372A07F2"/>
    <w:rsid w:val="37342518"/>
    <w:rsid w:val="37357964"/>
    <w:rsid w:val="373757CA"/>
    <w:rsid w:val="373B5161"/>
    <w:rsid w:val="373D6F58"/>
    <w:rsid w:val="37446333"/>
    <w:rsid w:val="37446A77"/>
    <w:rsid w:val="374D0B20"/>
    <w:rsid w:val="37557969"/>
    <w:rsid w:val="375D4473"/>
    <w:rsid w:val="37615F3C"/>
    <w:rsid w:val="37663E25"/>
    <w:rsid w:val="376B106B"/>
    <w:rsid w:val="377963D6"/>
    <w:rsid w:val="37796963"/>
    <w:rsid w:val="377A5D14"/>
    <w:rsid w:val="378075A4"/>
    <w:rsid w:val="3783595B"/>
    <w:rsid w:val="37840F0B"/>
    <w:rsid w:val="378772DD"/>
    <w:rsid w:val="378917C1"/>
    <w:rsid w:val="378A731A"/>
    <w:rsid w:val="378E3617"/>
    <w:rsid w:val="37931A90"/>
    <w:rsid w:val="37A4082B"/>
    <w:rsid w:val="37A4627C"/>
    <w:rsid w:val="37A530D5"/>
    <w:rsid w:val="37A643C8"/>
    <w:rsid w:val="37AE534B"/>
    <w:rsid w:val="37AF0370"/>
    <w:rsid w:val="37B1214B"/>
    <w:rsid w:val="37B336FE"/>
    <w:rsid w:val="37B5292C"/>
    <w:rsid w:val="37BA6351"/>
    <w:rsid w:val="37C0226A"/>
    <w:rsid w:val="37C265EA"/>
    <w:rsid w:val="37C93B72"/>
    <w:rsid w:val="37CC231E"/>
    <w:rsid w:val="37CC50A4"/>
    <w:rsid w:val="37D644F2"/>
    <w:rsid w:val="37D913AF"/>
    <w:rsid w:val="37E22653"/>
    <w:rsid w:val="37ED5E3A"/>
    <w:rsid w:val="37EF1B98"/>
    <w:rsid w:val="37F311D3"/>
    <w:rsid w:val="37F7242F"/>
    <w:rsid w:val="37FD1EC6"/>
    <w:rsid w:val="380579FE"/>
    <w:rsid w:val="380A2EB4"/>
    <w:rsid w:val="38157509"/>
    <w:rsid w:val="38194CC2"/>
    <w:rsid w:val="381D5340"/>
    <w:rsid w:val="382150C9"/>
    <w:rsid w:val="382372FE"/>
    <w:rsid w:val="38284CDE"/>
    <w:rsid w:val="38290CA5"/>
    <w:rsid w:val="382D297A"/>
    <w:rsid w:val="382F19E6"/>
    <w:rsid w:val="38320607"/>
    <w:rsid w:val="38336594"/>
    <w:rsid w:val="383B2EED"/>
    <w:rsid w:val="38463F5F"/>
    <w:rsid w:val="384C2D57"/>
    <w:rsid w:val="38557E21"/>
    <w:rsid w:val="3856501D"/>
    <w:rsid w:val="38590DD6"/>
    <w:rsid w:val="385F47DB"/>
    <w:rsid w:val="386777DB"/>
    <w:rsid w:val="38693A96"/>
    <w:rsid w:val="386A1921"/>
    <w:rsid w:val="386B38FB"/>
    <w:rsid w:val="38747711"/>
    <w:rsid w:val="38775820"/>
    <w:rsid w:val="387F0A30"/>
    <w:rsid w:val="38822AC1"/>
    <w:rsid w:val="388574CD"/>
    <w:rsid w:val="38876F05"/>
    <w:rsid w:val="38894DA5"/>
    <w:rsid w:val="389121D9"/>
    <w:rsid w:val="38913DAB"/>
    <w:rsid w:val="38962777"/>
    <w:rsid w:val="38981AB5"/>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84FBF"/>
    <w:rsid w:val="38C9516C"/>
    <w:rsid w:val="38D05F26"/>
    <w:rsid w:val="38D124F5"/>
    <w:rsid w:val="38D1582B"/>
    <w:rsid w:val="38D504F4"/>
    <w:rsid w:val="38D828C2"/>
    <w:rsid w:val="38D95A84"/>
    <w:rsid w:val="38E11AA1"/>
    <w:rsid w:val="38E45926"/>
    <w:rsid w:val="38E46191"/>
    <w:rsid w:val="38E84102"/>
    <w:rsid w:val="38EB7945"/>
    <w:rsid w:val="38EC260C"/>
    <w:rsid w:val="38EF0DB7"/>
    <w:rsid w:val="38F50C85"/>
    <w:rsid w:val="39065A02"/>
    <w:rsid w:val="390A7C62"/>
    <w:rsid w:val="39105718"/>
    <w:rsid w:val="39147611"/>
    <w:rsid w:val="392B6A4C"/>
    <w:rsid w:val="393232FB"/>
    <w:rsid w:val="393544DD"/>
    <w:rsid w:val="393962EC"/>
    <w:rsid w:val="393F6CD7"/>
    <w:rsid w:val="39457868"/>
    <w:rsid w:val="394620D9"/>
    <w:rsid w:val="39462EDC"/>
    <w:rsid w:val="394935B8"/>
    <w:rsid w:val="394C557A"/>
    <w:rsid w:val="3952190F"/>
    <w:rsid w:val="39541117"/>
    <w:rsid w:val="395753F2"/>
    <w:rsid w:val="395771BA"/>
    <w:rsid w:val="395811AF"/>
    <w:rsid w:val="395D360D"/>
    <w:rsid w:val="39676A41"/>
    <w:rsid w:val="39686D44"/>
    <w:rsid w:val="39695DEF"/>
    <w:rsid w:val="3973175F"/>
    <w:rsid w:val="39762B94"/>
    <w:rsid w:val="397E700C"/>
    <w:rsid w:val="39834074"/>
    <w:rsid w:val="39885108"/>
    <w:rsid w:val="398A2308"/>
    <w:rsid w:val="39907940"/>
    <w:rsid w:val="399602F5"/>
    <w:rsid w:val="399B5B0D"/>
    <w:rsid w:val="39A05979"/>
    <w:rsid w:val="39A90F14"/>
    <w:rsid w:val="39AB5689"/>
    <w:rsid w:val="39B747A8"/>
    <w:rsid w:val="39BB78F7"/>
    <w:rsid w:val="39BC428E"/>
    <w:rsid w:val="39BF2BB7"/>
    <w:rsid w:val="39C46549"/>
    <w:rsid w:val="39C46AF6"/>
    <w:rsid w:val="39CA1A60"/>
    <w:rsid w:val="39D3749A"/>
    <w:rsid w:val="39D5434E"/>
    <w:rsid w:val="39D7557D"/>
    <w:rsid w:val="39DA738E"/>
    <w:rsid w:val="39DC3D4A"/>
    <w:rsid w:val="39DD49C2"/>
    <w:rsid w:val="39DD4ACE"/>
    <w:rsid w:val="39E02BA8"/>
    <w:rsid w:val="39E70CEA"/>
    <w:rsid w:val="39E9070B"/>
    <w:rsid w:val="39EC7454"/>
    <w:rsid w:val="39F07D03"/>
    <w:rsid w:val="39FD2FB3"/>
    <w:rsid w:val="3A026596"/>
    <w:rsid w:val="3A082ABE"/>
    <w:rsid w:val="3A0A6393"/>
    <w:rsid w:val="3A0E18F6"/>
    <w:rsid w:val="3A0E766B"/>
    <w:rsid w:val="3A181AC2"/>
    <w:rsid w:val="3A1A155D"/>
    <w:rsid w:val="3A1A5D0A"/>
    <w:rsid w:val="3A237175"/>
    <w:rsid w:val="3A264A9F"/>
    <w:rsid w:val="3A2B2AA6"/>
    <w:rsid w:val="3A2E67B0"/>
    <w:rsid w:val="3A3D5DAF"/>
    <w:rsid w:val="3A443D4B"/>
    <w:rsid w:val="3A543180"/>
    <w:rsid w:val="3A616CAD"/>
    <w:rsid w:val="3A711C68"/>
    <w:rsid w:val="3A7927E8"/>
    <w:rsid w:val="3A796E46"/>
    <w:rsid w:val="3A7C159F"/>
    <w:rsid w:val="3A81194F"/>
    <w:rsid w:val="3A82188E"/>
    <w:rsid w:val="3A872B9C"/>
    <w:rsid w:val="3A8B3C77"/>
    <w:rsid w:val="3A8D7B58"/>
    <w:rsid w:val="3A916A1A"/>
    <w:rsid w:val="3A971F5B"/>
    <w:rsid w:val="3A9A224E"/>
    <w:rsid w:val="3A9C1F8C"/>
    <w:rsid w:val="3A9D2551"/>
    <w:rsid w:val="3AA05C74"/>
    <w:rsid w:val="3AA15A8E"/>
    <w:rsid w:val="3AA607A4"/>
    <w:rsid w:val="3AA90278"/>
    <w:rsid w:val="3AA97F70"/>
    <w:rsid w:val="3AAC45FD"/>
    <w:rsid w:val="3AB2580E"/>
    <w:rsid w:val="3AB26A14"/>
    <w:rsid w:val="3AB94248"/>
    <w:rsid w:val="3ABE6A92"/>
    <w:rsid w:val="3ABE76C3"/>
    <w:rsid w:val="3ABE7ADC"/>
    <w:rsid w:val="3ABF42F5"/>
    <w:rsid w:val="3ACE18D2"/>
    <w:rsid w:val="3ACE7D16"/>
    <w:rsid w:val="3AD56DB6"/>
    <w:rsid w:val="3AD73D23"/>
    <w:rsid w:val="3AEE596A"/>
    <w:rsid w:val="3AF05C24"/>
    <w:rsid w:val="3AF47143"/>
    <w:rsid w:val="3AF90FF9"/>
    <w:rsid w:val="3AF932C9"/>
    <w:rsid w:val="3AFD37D0"/>
    <w:rsid w:val="3B016EE9"/>
    <w:rsid w:val="3B075C4E"/>
    <w:rsid w:val="3B081410"/>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F1534"/>
    <w:rsid w:val="3B3A132E"/>
    <w:rsid w:val="3B456D7F"/>
    <w:rsid w:val="3B517555"/>
    <w:rsid w:val="3B553600"/>
    <w:rsid w:val="3B563186"/>
    <w:rsid w:val="3B5E261D"/>
    <w:rsid w:val="3B5F14B4"/>
    <w:rsid w:val="3B616FBE"/>
    <w:rsid w:val="3B683A4D"/>
    <w:rsid w:val="3B6A3CF4"/>
    <w:rsid w:val="3B6D5AE8"/>
    <w:rsid w:val="3B6F5B73"/>
    <w:rsid w:val="3B70725E"/>
    <w:rsid w:val="3B7236B3"/>
    <w:rsid w:val="3B7B1D0B"/>
    <w:rsid w:val="3B850B78"/>
    <w:rsid w:val="3B86470F"/>
    <w:rsid w:val="3B873119"/>
    <w:rsid w:val="3B9A4A30"/>
    <w:rsid w:val="3B9C2663"/>
    <w:rsid w:val="3B9C285E"/>
    <w:rsid w:val="3BA17E84"/>
    <w:rsid w:val="3BA35FC1"/>
    <w:rsid w:val="3BA566FD"/>
    <w:rsid w:val="3BA7008A"/>
    <w:rsid w:val="3BAF052C"/>
    <w:rsid w:val="3BB40DC9"/>
    <w:rsid w:val="3BB47D9F"/>
    <w:rsid w:val="3BB8361B"/>
    <w:rsid w:val="3BD039A1"/>
    <w:rsid w:val="3BD16A31"/>
    <w:rsid w:val="3BD40BDF"/>
    <w:rsid w:val="3BDB4BB2"/>
    <w:rsid w:val="3BDE5F43"/>
    <w:rsid w:val="3BE253C4"/>
    <w:rsid w:val="3BE6675A"/>
    <w:rsid w:val="3BE745F7"/>
    <w:rsid w:val="3BF10AAD"/>
    <w:rsid w:val="3BF13FB8"/>
    <w:rsid w:val="3BF22C4A"/>
    <w:rsid w:val="3BFA10FC"/>
    <w:rsid w:val="3C032713"/>
    <w:rsid w:val="3C042946"/>
    <w:rsid w:val="3C070D59"/>
    <w:rsid w:val="3C071F68"/>
    <w:rsid w:val="3C074961"/>
    <w:rsid w:val="3C0B6499"/>
    <w:rsid w:val="3C0E09BE"/>
    <w:rsid w:val="3C0F1954"/>
    <w:rsid w:val="3C0F347A"/>
    <w:rsid w:val="3C104621"/>
    <w:rsid w:val="3C1071B6"/>
    <w:rsid w:val="3C1B14F3"/>
    <w:rsid w:val="3C1E1E84"/>
    <w:rsid w:val="3C1E391D"/>
    <w:rsid w:val="3C21000D"/>
    <w:rsid w:val="3C237821"/>
    <w:rsid w:val="3C294498"/>
    <w:rsid w:val="3C2A1C6F"/>
    <w:rsid w:val="3C2D5003"/>
    <w:rsid w:val="3C333216"/>
    <w:rsid w:val="3C36018F"/>
    <w:rsid w:val="3C3A7F01"/>
    <w:rsid w:val="3C3B0B4B"/>
    <w:rsid w:val="3C3D016E"/>
    <w:rsid w:val="3C4864AA"/>
    <w:rsid w:val="3C49796D"/>
    <w:rsid w:val="3C4F7D80"/>
    <w:rsid w:val="3C5475AD"/>
    <w:rsid w:val="3C591787"/>
    <w:rsid w:val="3C5F3192"/>
    <w:rsid w:val="3C5F34EC"/>
    <w:rsid w:val="3C64689F"/>
    <w:rsid w:val="3C676A33"/>
    <w:rsid w:val="3C6E7D4D"/>
    <w:rsid w:val="3C740DAA"/>
    <w:rsid w:val="3C750E34"/>
    <w:rsid w:val="3C7A7CE8"/>
    <w:rsid w:val="3C7E65EC"/>
    <w:rsid w:val="3C812838"/>
    <w:rsid w:val="3C826AA5"/>
    <w:rsid w:val="3C8555A2"/>
    <w:rsid w:val="3C867450"/>
    <w:rsid w:val="3C915B7E"/>
    <w:rsid w:val="3C971009"/>
    <w:rsid w:val="3C9E64A0"/>
    <w:rsid w:val="3CA159BD"/>
    <w:rsid w:val="3CA41337"/>
    <w:rsid w:val="3CA95FB0"/>
    <w:rsid w:val="3CAA38C3"/>
    <w:rsid w:val="3CAA5481"/>
    <w:rsid w:val="3CAC1109"/>
    <w:rsid w:val="3CB338D6"/>
    <w:rsid w:val="3CB36CF4"/>
    <w:rsid w:val="3CB50EC3"/>
    <w:rsid w:val="3CB61240"/>
    <w:rsid w:val="3CBA78F5"/>
    <w:rsid w:val="3CBD5A0F"/>
    <w:rsid w:val="3CBF5299"/>
    <w:rsid w:val="3CBF7818"/>
    <w:rsid w:val="3CC26B63"/>
    <w:rsid w:val="3CC42B41"/>
    <w:rsid w:val="3CC71C25"/>
    <w:rsid w:val="3CCC4D4D"/>
    <w:rsid w:val="3CCD7DE2"/>
    <w:rsid w:val="3CCE0448"/>
    <w:rsid w:val="3CD71E34"/>
    <w:rsid w:val="3CD93A3D"/>
    <w:rsid w:val="3CDB5D82"/>
    <w:rsid w:val="3CDE394C"/>
    <w:rsid w:val="3CE54B9F"/>
    <w:rsid w:val="3CE86761"/>
    <w:rsid w:val="3CEC51B9"/>
    <w:rsid w:val="3CF619DB"/>
    <w:rsid w:val="3CF86E9C"/>
    <w:rsid w:val="3CF87328"/>
    <w:rsid w:val="3CFD37E7"/>
    <w:rsid w:val="3CFE44BF"/>
    <w:rsid w:val="3D01412D"/>
    <w:rsid w:val="3D035272"/>
    <w:rsid w:val="3D0B7E6F"/>
    <w:rsid w:val="3D0F1231"/>
    <w:rsid w:val="3D130342"/>
    <w:rsid w:val="3D163A6F"/>
    <w:rsid w:val="3D184661"/>
    <w:rsid w:val="3D200D7C"/>
    <w:rsid w:val="3D233D0C"/>
    <w:rsid w:val="3D272F24"/>
    <w:rsid w:val="3D2A76C4"/>
    <w:rsid w:val="3D2C61BC"/>
    <w:rsid w:val="3D2D3F04"/>
    <w:rsid w:val="3D2F4437"/>
    <w:rsid w:val="3D3075FB"/>
    <w:rsid w:val="3D3662C4"/>
    <w:rsid w:val="3D47670E"/>
    <w:rsid w:val="3D4A3942"/>
    <w:rsid w:val="3D4D7CF8"/>
    <w:rsid w:val="3D58163A"/>
    <w:rsid w:val="3D5A05E2"/>
    <w:rsid w:val="3D5C63D4"/>
    <w:rsid w:val="3D5E50E6"/>
    <w:rsid w:val="3D5F6029"/>
    <w:rsid w:val="3D611CC7"/>
    <w:rsid w:val="3D6223C0"/>
    <w:rsid w:val="3D641D7A"/>
    <w:rsid w:val="3D7335E1"/>
    <w:rsid w:val="3D7618FA"/>
    <w:rsid w:val="3D766E42"/>
    <w:rsid w:val="3D791797"/>
    <w:rsid w:val="3D807BCD"/>
    <w:rsid w:val="3D82057E"/>
    <w:rsid w:val="3D823565"/>
    <w:rsid w:val="3D832B00"/>
    <w:rsid w:val="3D8522AA"/>
    <w:rsid w:val="3D8A0C19"/>
    <w:rsid w:val="3D917A42"/>
    <w:rsid w:val="3D9816B4"/>
    <w:rsid w:val="3D990197"/>
    <w:rsid w:val="3D9A0655"/>
    <w:rsid w:val="3D9D4DFB"/>
    <w:rsid w:val="3DA22306"/>
    <w:rsid w:val="3DA9667F"/>
    <w:rsid w:val="3DAA1B3A"/>
    <w:rsid w:val="3DB17297"/>
    <w:rsid w:val="3DBB6C89"/>
    <w:rsid w:val="3DCA7F01"/>
    <w:rsid w:val="3DCD6921"/>
    <w:rsid w:val="3DD67156"/>
    <w:rsid w:val="3DD745F2"/>
    <w:rsid w:val="3DE04FCE"/>
    <w:rsid w:val="3DE26B28"/>
    <w:rsid w:val="3DE37514"/>
    <w:rsid w:val="3DE548AC"/>
    <w:rsid w:val="3DE653F8"/>
    <w:rsid w:val="3DE72673"/>
    <w:rsid w:val="3DEB1255"/>
    <w:rsid w:val="3DEE1FBE"/>
    <w:rsid w:val="3DEE62E8"/>
    <w:rsid w:val="3DF94D6E"/>
    <w:rsid w:val="3E0448CB"/>
    <w:rsid w:val="3E073B6A"/>
    <w:rsid w:val="3E0918A5"/>
    <w:rsid w:val="3E0F25EA"/>
    <w:rsid w:val="3E146F59"/>
    <w:rsid w:val="3E197897"/>
    <w:rsid w:val="3E220E05"/>
    <w:rsid w:val="3E22755F"/>
    <w:rsid w:val="3E237BCC"/>
    <w:rsid w:val="3E2432FC"/>
    <w:rsid w:val="3E255AC9"/>
    <w:rsid w:val="3E3419DC"/>
    <w:rsid w:val="3E376233"/>
    <w:rsid w:val="3E39655E"/>
    <w:rsid w:val="3E3C5F3C"/>
    <w:rsid w:val="3E3E306A"/>
    <w:rsid w:val="3E3F2CA0"/>
    <w:rsid w:val="3E454B0D"/>
    <w:rsid w:val="3E463CA5"/>
    <w:rsid w:val="3E473153"/>
    <w:rsid w:val="3E4B2DC3"/>
    <w:rsid w:val="3E535A69"/>
    <w:rsid w:val="3E583BB7"/>
    <w:rsid w:val="3E5A1D01"/>
    <w:rsid w:val="3E5B12DC"/>
    <w:rsid w:val="3E623E46"/>
    <w:rsid w:val="3E63159D"/>
    <w:rsid w:val="3E667FB0"/>
    <w:rsid w:val="3E680BF1"/>
    <w:rsid w:val="3E6953E3"/>
    <w:rsid w:val="3E780453"/>
    <w:rsid w:val="3E7A1C88"/>
    <w:rsid w:val="3E817D90"/>
    <w:rsid w:val="3E836D6C"/>
    <w:rsid w:val="3E837966"/>
    <w:rsid w:val="3E844725"/>
    <w:rsid w:val="3E8B095A"/>
    <w:rsid w:val="3E8D0487"/>
    <w:rsid w:val="3E8D66A1"/>
    <w:rsid w:val="3E8E6C82"/>
    <w:rsid w:val="3E942719"/>
    <w:rsid w:val="3E943FDD"/>
    <w:rsid w:val="3E95645F"/>
    <w:rsid w:val="3E9A19C5"/>
    <w:rsid w:val="3E9E1F00"/>
    <w:rsid w:val="3E9E3078"/>
    <w:rsid w:val="3EA5280C"/>
    <w:rsid w:val="3EAC3BDD"/>
    <w:rsid w:val="3EB767A1"/>
    <w:rsid w:val="3EBB7EC0"/>
    <w:rsid w:val="3EC055C8"/>
    <w:rsid w:val="3EC31440"/>
    <w:rsid w:val="3EC350B1"/>
    <w:rsid w:val="3EC41A48"/>
    <w:rsid w:val="3EC5174F"/>
    <w:rsid w:val="3EC51CAD"/>
    <w:rsid w:val="3EC720C9"/>
    <w:rsid w:val="3EC80A9D"/>
    <w:rsid w:val="3EC9080A"/>
    <w:rsid w:val="3ECC4869"/>
    <w:rsid w:val="3ECD06E3"/>
    <w:rsid w:val="3ECF0F50"/>
    <w:rsid w:val="3ECF234A"/>
    <w:rsid w:val="3ED03828"/>
    <w:rsid w:val="3ED671CD"/>
    <w:rsid w:val="3EE107F4"/>
    <w:rsid w:val="3EE14A57"/>
    <w:rsid w:val="3EE21263"/>
    <w:rsid w:val="3EF36AD8"/>
    <w:rsid w:val="3EF53397"/>
    <w:rsid w:val="3EF535E4"/>
    <w:rsid w:val="3EF62480"/>
    <w:rsid w:val="3EFB57DC"/>
    <w:rsid w:val="3EFE55C6"/>
    <w:rsid w:val="3F0572F1"/>
    <w:rsid w:val="3F144192"/>
    <w:rsid w:val="3F1871AF"/>
    <w:rsid w:val="3F206E95"/>
    <w:rsid w:val="3F217DDA"/>
    <w:rsid w:val="3F2455B3"/>
    <w:rsid w:val="3F2B184D"/>
    <w:rsid w:val="3F2C36BA"/>
    <w:rsid w:val="3F2C7646"/>
    <w:rsid w:val="3F2F01F0"/>
    <w:rsid w:val="3F3A7EA2"/>
    <w:rsid w:val="3F3C6744"/>
    <w:rsid w:val="3F421D47"/>
    <w:rsid w:val="3F441B08"/>
    <w:rsid w:val="3F4A4087"/>
    <w:rsid w:val="3F4F72FB"/>
    <w:rsid w:val="3F5361F5"/>
    <w:rsid w:val="3F555F0F"/>
    <w:rsid w:val="3F556D23"/>
    <w:rsid w:val="3F5A4F9D"/>
    <w:rsid w:val="3F673021"/>
    <w:rsid w:val="3F6B3632"/>
    <w:rsid w:val="3F72005B"/>
    <w:rsid w:val="3F742249"/>
    <w:rsid w:val="3F776E0A"/>
    <w:rsid w:val="3F8978E2"/>
    <w:rsid w:val="3F940D9B"/>
    <w:rsid w:val="3F952814"/>
    <w:rsid w:val="3F956B94"/>
    <w:rsid w:val="3F961F7D"/>
    <w:rsid w:val="3F9C0821"/>
    <w:rsid w:val="3F9C213C"/>
    <w:rsid w:val="3FA41C63"/>
    <w:rsid w:val="3FAB100B"/>
    <w:rsid w:val="3FAB3D87"/>
    <w:rsid w:val="3FAB41A2"/>
    <w:rsid w:val="3FAE47F6"/>
    <w:rsid w:val="3FB03D8B"/>
    <w:rsid w:val="3FB77F5A"/>
    <w:rsid w:val="3FBB4BEF"/>
    <w:rsid w:val="3FBE30B8"/>
    <w:rsid w:val="3FCF604C"/>
    <w:rsid w:val="3FD210AC"/>
    <w:rsid w:val="3FD3664E"/>
    <w:rsid w:val="3FD53CFE"/>
    <w:rsid w:val="3FD9316A"/>
    <w:rsid w:val="3FE1096B"/>
    <w:rsid w:val="3FE210C1"/>
    <w:rsid w:val="3FE417DA"/>
    <w:rsid w:val="3FEB1C22"/>
    <w:rsid w:val="3FED1519"/>
    <w:rsid w:val="3FEE2117"/>
    <w:rsid w:val="3FFA58A6"/>
    <w:rsid w:val="3FFA5C63"/>
    <w:rsid w:val="40073561"/>
    <w:rsid w:val="400A1CFC"/>
    <w:rsid w:val="401D6DEE"/>
    <w:rsid w:val="401F7AF6"/>
    <w:rsid w:val="40201634"/>
    <w:rsid w:val="402079EB"/>
    <w:rsid w:val="402C52D5"/>
    <w:rsid w:val="40372C35"/>
    <w:rsid w:val="403870E4"/>
    <w:rsid w:val="403D2472"/>
    <w:rsid w:val="403D7C5C"/>
    <w:rsid w:val="40400533"/>
    <w:rsid w:val="40407A9F"/>
    <w:rsid w:val="4048358D"/>
    <w:rsid w:val="4049754C"/>
    <w:rsid w:val="404B2521"/>
    <w:rsid w:val="404B49C3"/>
    <w:rsid w:val="404F7DEB"/>
    <w:rsid w:val="40572DA6"/>
    <w:rsid w:val="405A424E"/>
    <w:rsid w:val="406D461C"/>
    <w:rsid w:val="406F7D87"/>
    <w:rsid w:val="407441CC"/>
    <w:rsid w:val="40786FBC"/>
    <w:rsid w:val="407A5C67"/>
    <w:rsid w:val="407B4FD0"/>
    <w:rsid w:val="40801F54"/>
    <w:rsid w:val="40825FDB"/>
    <w:rsid w:val="40836EAD"/>
    <w:rsid w:val="40907287"/>
    <w:rsid w:val="409238F2"/>
    <w:rsid w:val="40930EBC"/>
    <w:rsid w:val="40953EC0"/>
    <w:rsid w:val="409D027A"/>
    <w:rsid w:val="409F75BB"/>
    <w:rsid w:val="40A56901"/>
    <w:rsid w:val="40A84A75"/>
    <w:rsid w:val="40AB3054"/>
    <w:rsid w:val="40AE78C1"/>
    <w:rsid w:val="40AF2B72"/>
    <w:rsid w:val="40B54999"/>
    <w:rsid w:val="40BC2A4B"/>
    <w:rsid w:val="40BD153A"/>
    <w:rsid w:val="40C2126A"/>
    <w:rsid w:val="40C3250A"/>
    <w:rsid w:val="40CD7BD8"/>
    <w:rsid w:val="40CE24AF"/>
    <w:rsid w:val="40D022F1"/>
    <w:rsid w:val="40D07371"/>
    <w:rsid w:val="40D72999"/>
    <w:rsid w:val="40DF3ABC"/>
    <w:rsid w:val="40E75AF0"/>
    <w:rsid w:val="40E87142"/>
    <w:rsid w:val="40EF3C78"/>
    <w:rsid w:val="40F00A85"/>
    <w:rsid w:val="40F1013C"/>
    <w:rsid w:val="40F35427"/>
    <w:rsid w:val="40FA38BC"/>
    <w:rsid w:val="40FE1447"/>
    <w:rsid w:val="41053DED"/>
    <w:rsid w:val="41216875"/>
    <w:rsid w:val="412368EE"/>
    <w:rsid w:val="412506DF"/>
    <w:rsid w:val="412D52A9"/>
    <w:rsid w:val="41320BD6"/>
    <w:rsid w:val="413314B6"/>
    <w:rsid w:val="41360F5F"/>
    <w:rsid w:val="413815BA"/>
    <w:rsid w:val="413B1BAB"/>
    <w:rsid w:val="41434504"/>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94683"/>
    <w:rsid w:val="416C15E7"/>
    <w:rsid w:val="416E039C"/>
    <w:rsid w:val="416E1B43"/>
    <w:rsid w:val="417727AB"/>
    <w:rsid w:val="417F7393"/>
    <w:rsid w:val="41800377"/>
    <w:rsid w:val="41804025"/>
    <w:rsid w:val="41835B7D"/>
    <w:rsid w:val="418B26ED"/>
    <w:rsid w:val="418F295E"/>
    <w:rsid w:val="41931531"/>
    <w:rsid w:val="41986119"/>
    <w:rsid w:val="419B3B43"/>
    <w:rsid w:val="41A63744"/>
    <w:rsid w:val="41A85E90"/>
    <w:rsid w:val="41AB3AB1"/>
    <w:rsid w:val="41AC6BA3"/>
    <w:rsid w:val="41AD5F07"/>
    <w:rsid w:val="41B730A3"/>
    <w:rsid w:val="41B737E0"/>
    <w:rsid w:val="41B77B6D"/>
    <w:rsid w:val="41BA081E"/>
    <w:rsid w:val="41C06F9B"/>
    <w:rsid w:val="41C20F3F"/>
    <w:rsid w:val="41CA257F"/>
    <w:rsid w:val="41CF504E"/>
    <w:rsid w:val="41D1580B"/>
    <w:rsid w:val="41D57639"/>
    <w:rsid w:val="41DC5EDF"/>
    <w:rsid w:val="41DD05DE"/>
    <w:rsid w:val="41E4117E"/>
    <w:rsid w:val="41E41803"/>
    <w:rsid w:val="41E52CA5"/>
    <w:rsid w:val="41E6368B"/>
    <w:rsid w:val="41F04C42"/>
    <w:rsid w:val="41F07014"/>
    <w:rsid w:val="41F24303"/>
    <w:rsid w:val="41F52080"/>
    <w:rsid w:val="41F94D40"/>
    <w:rsid w:val="41FD1048"/>
    <w:rsid w:val="42001B5D"/>
    <w:rsid w:val="420850A2"/>
    <w:rsid w:val="42097561"/>
    <w:rsid w:val="420C7ACC"/>
    <w:rsid w:val="4214724C"/>
    <w:rsid w:val="421555B3"/>
    <w:rsid w:val="421B1059"/>
    <w:rsid w:val="422370F9"/>
    <w:rsid w:val="42294221"/>
    <w:rsid w:val="422C32BD"/>
    <w:rsid w:val="422E207E"/>
    <w:rsid w:val="4230121C"/>
    <w:rsid w:val="423038F8"/>
    <w:rsid w:val="4238424D"/>
    <w:rsid w:val="423B6862"/>
    <w:rsid w:val="42413CE4"/>
    <w:rsid w:val="424255E1"/>
    <w:rsid w:val="42426D8B"/>
    <w:rsid w:val="424A277B"/>
    <w:rsid w:val="424C388F"/>
    <w:rsid w:val="424C701C"/>
    <w:rsid w:val="42552CD5"/>
    <w:rsid w:val="42571AE1"/>
    <w:rsid w:val="42637522"/>
    <w:rsid w:val="4268449D"/>
    <w:rsid w:val="42697E79"/>
    <w:rsid w:val="426E536F"/>
    <w:rsid w:val="427034C5"/>
    <w:rsid w:val="42730E0D"/>
    <w:rsid w:val="427409B9"/>
    <w:rsid w:val="427F3C64"/>
    <w:rsid w:val="42831021"/>
    <w:rsid w:val="42863926"/>
    <w:rsid w:val="4287026E"/>
    <w:rsid w:val="42873CB7"/>
    <w:rsid w:val="428A607C"/>
    <w:rsid w:val="429110B8"/>
    <w:rsid w:val="4295760D"/>
    <w:rsid w:val="429A29B1"/>
    <w:rsid w:val="429C1606"/>
    <w:rsid w:val="42A50044"/>
    <w:rsid w:val="42A87389"/>
    <w:rsid w:val="42B63D6B"/>
    <w:rsid w:val="42B92FAE"/>
    <w:rsid w:val="42C5796D"/>
    <w:rsid w:val="42D02E55"/>
    <w:rsid w:val="42D216FF"/>
    <w:rsid w:val="42D420EA"/>
    <w:rsid w:val="42D67001"/>
    <w:rsid w:val="42E06A10"/>
    <w:rsid w:val="42EF51EC"/>
    <w:rsid w:val="42F46A4C"/>
    <w:rsid w:val="42F503E1"/>
    <w:rsid w:val="42F511BA"/>
    <w:rsid w:val="42F875D5"/>
    <w:rsid w:val="43073BEF"/>
    <w:rsid w:val="430A5FFD"/>
    <w:rsid w:val="43112BE5"/>
    <w:rsid w:val="43120C73"/>
    <w:rsid w:val="431B56C6"/>
    <w:rsid w:val="431C7B04"/>
    <w:rsid w:val="431F752B"/>
    <w:rsid w:val="432466AA"/>
    <w:rsid w:val="43256A94"/>
    <w:rsid w:val="432B0FC9"/>
    <w:rsid w:val="432E5E21"/>
    <w:rsid w:val="432F4EDA"/>
    <w:rsid w:val="4334749B"/>
    <w:rsid w:val="433C41B8"/>
    <w:rsid w:val="433D2335"/>
    <w:rsid w:val="433F57C3"/>
    <w:rsid w:val="43426A44"/>
    <w:rsid w:val="43443162"/>
    <w:rsid w:val="43464C77"/>
    <w:rsid w:val="434660C5"/>
    <w:rsid w:val="434B44DC"/>
    <w:rsid w:val="43605DCC"/>
    <w:rsid w:val="43614CEE"/>
    <w:rsid w:val="4362104C"/>
    <w:rsid w:val="43621947"/>
    <w:rsid w:val="4363090C"/>
    <w:rsid w:val="43664819"/>
    <w:rsid w:val="436A2192"/>
    <w:rsid w:val="436C40C2"/>
    <w:rsid w:val="436F292D"/>
    <w:rsid w:val="437D6585"/>
    <w:rsid w:val="438042AD"/>
    <w:rsid w:val="43837C39"/>
    <w:rsid w:val="43853F53"/>
    <w:rsid w:val="438B6310"/>
    <w:rsid w:val="439322F0"/>
    <w:rsid w:val="43964600"/>
    <w:rsid w:val="4397231A"/>
    <w:rsid w:val="439C3431"/>
    <w:rsid w:val="439D0E7C"/>
    <w:rsid w:val="43A26A83"/>
    <w:rsid w:val="43A41643"/>
    <w:rsid w:val="43B329A6"/>
    <w:rsid w:val="43B70399"/>
    <w:rsid w:val="43C0281C"/>
    <w:rsid w:val="43C02B26"/>
    <w:rsid w:val="43C91C5B"/>
    <w:rsid w:val="43D10A40"/>
    <w:rsid w:val="43D67A91"/>
    <w:rsid w:val="43E21F58"/>
    <w:rsid w:val="43E35EF0"/>
    <w:rsid w:val="43EB1944"/>
    <w:rsid w:val="43F71BCF"/>
    <w:rsid w:val="43F76F69"/>
    <w:rsid w:val="43F90FED"/>
    <w:rsid w:val="43F9776B"/>
    <w:rsid w:val="43FC0DB2"/>
    <w:rsid w:val="44051440"/>
    <w:rsid w:val="44095B4D"/>
    <w:rsid w:val="440C5D56"/>
    <w:rsid w:val="44153F0C"/>
    <w:rsid w:val="44174583"/>
    <w:rsid w:val="441A5200"/>
    <w:rsid w:val="441C4432"/>
    <w:rsid w:val="441D506D"/>
    <w:rsid w:val="441E6109"/>
    <w:rsid w:val="4425456D"/>
    <w:rsid w:val="44336EAB"/>
    <w:rsid w:val="44393BD3"/>
    <w:rsid w:val="444109FB"/>
    <w:rsid w:val="44416F50"/>
    <w:rsid w:val="444E22EA"/>
    <w:rsid w:val="44584267"/>
    <w:rsid w:val="445A2CF1"/>
    <w:rsid w:val="44613B53"/>
    <w:rsid w:val="44705173"/>
    <w:rsid w:val="44740841"/>
    <w:rsid w:val="4476407C"/>
    <w:rsid w:val="447B4A66"/>
    <w:rsid w:val="447D4136"/>
    <w:rsid w:val="44825790"/>
    <w:rsid w:val="44861189"/>
    <w:rsid w:val="448B5845"/>
    <w:rsid w:val="448C73DD"/>
    <w:rsid w:val="448E0EB7"/>
    <w:rsid w:val="44907237"/>
    <w:rsid w:val="449510AA"/>
    <w:rsid w:val="4499566C"/>
    <w:rsid w:val="449D7968"/>
    <w:rsid w:val="44AA6690"/>
    <w:rsid w:val="44AC7B53"/>
    <w:rsid w:val="44AD2A20"/>
    <w:rsid w:val="44B41964"/>
    <w:rsid w:val="44B4690B"/>
    <w:rsid w:val="44B53006"/>
    <w:rsid w:val="44B94962"/>
    <w:rsid w:val="44BA1648"/>
    <w:rsid w:val="44BA7605"/>
    <w:rsid w:val="44BB150F"/>
    <w:rsid w:val="44BE4FA9"/>
    <w:rsid w:val="44C1032E"/>
    <w:rsid w:val="44C43057"/>
    <w:rsid w:val="44C46F12"/>
    <w:rsid w:val="44C816C4"/>
    <w:rsid w:val="44C87C0F"/>
    <w:rsid w:val="44C932D0"/>
    <w:rsid w:val="44CB4FB3"/>
    <w:rsid w:val="44D31B1E"/>
    <w:rsid w:val="44DF6F1B"/>
    <w:rsid w:val="44E54BDC"/>
    <w:rsid w:val="44E92DF3"/>
    <w:rsid w:val="44EB1931"/>
    <w:rsid w:val="44F44FEB"/>
    <w:rsid w:val="44F82D0E"/>
    <w:rsid w:val="44FF7037"/>
    <w:rsid w:val="45004D64"/>
    <w:rsid w:val="450174D5"/>
    <w:rsid w:val="451C5E9C"/>
    <w:rsid w:val="45214561"/>
    <w:rsid w:val="452C5F0A"/>
    <w:rsid w:val="453401C9"/>
    <w:rsid w:val="45347499"/>
    <w:rsid w:val="453579B0"/>
    <w:rsid w:val="45385EDA"/>
    <w:rsid w:val="453F48AB"/>
    <w:rsid w:val="454036A6"/>
    <w:rsid w:val="45446179"/>
    <w:rsid w:val="454E0AAC"/>
    <w:rsid w:val="454E4F75"/>
    <w:rsid w:val="454E6B7A"/>
    <w:rsid w:val="4551463D"/>
    <w:rsid w:val="45520426"/>
    <w:rsid w:val="45522E35"/>
    <w:rsid w:val="45572AB5"/>
    <w:rsid w:val="455A7708"/>
    <w:rsid w:val="45626CF1"/>
    <w:rsid w:val="45697967"/>
    <w:rsid w:val="456C4CA4"/>
    <w:rsid w:val="457736FF"/>
    <w:rsid w:val="457751D0"/>
    <w:rsid w:val="45790DCE"/>
    <w:rsid w:val="457E31A2"/>
    <w:rsid w:val="45835C3C"/>
    <w:rsid w:val="45870E95"/>
    <w:rsid w:val="458B757C"/>
    <w:rsid w:val="458D679F"/>
    <w:rsid w:val="459026D9"/>
    <w:rsid w:val="45917B8A"/>
    <w:rsid w:val="459B634C"/>
    <w:rsid w:val="459D445E"/>
    <w:rsid w:val="459F2381"/>
    <w:rsid w:val="45A1053A"/>
    <w:rsid w:val="45A11196"/>
    <w:rsid w:val="45A47990"/>
    <w:rsid w:val="45A60E44"/>
    <w:rsid w:val="45A74FA6"/>
    <w:rsid w:val="45AA0217"/>
    <w:rsid w:val="45B315CE"/>
    <w:rsid w:val="45B5611D"/>
    <w:rsid w:val="45B64B84"/>
    <w:rsid w:val="45BA6033"/>
    <w:rsid w:val="45C85EA2"/>
    <w:rsid w:val="45D9022E"/>
    <w:rsid w:val="45E11BAF"/>
    <w:rsid w:val="45E3021B"/>
    <w:rsid w:val="45E37678"/>
    <w:rsid w:val="45E526A6"/>
    <w:rsid w:val="45E56E31"/>
    <w:rsid w:val="45E66893"/>
    <w:rsid w:val="45E826B2"/>
    <w:rsid w:val="45EE016D"/>
    <w:rsid w:val="45F4334C"/>
    <w:rsid w:val="460D3781"/>
    <w:rsid w:val="461B7F64"/>
    <w:rsid w:val="461F36FD"/>
    <w:rsid w:val="462D4B2D"/>
    <w:rsid w:val="462E4FF5"/>
    <w:rsid w:val="46326F58"/>
    <w:rsid w:val="46365246"/>
    <w:rsid w:val="463E1C6A"/>
    <w:rsid w:val="46413001"/>
    <w:rsid w:val="46466453"/>
    <w:rsid w:val="464871AD"/>
    <w:rsid w:val="464937C4"/>
    <w:rsid w:val="464B3175"/>
    <w:rsid w:val="464E3AE9"/>
    <w:rsid w:val="46541070"/>
    <w:rsid w:val="465918B0"/>
    <w:rsid w:val="46591F99"/>
    <w:rsid w:val="465D0995"/>
    <w:rsid w:val="4662020E"/>
    <w:rsid w:val="466D3070"/>
    <w:rsid w:val="4671651F"/>
    <w:rsid w:val="46787358"/>
    <w:rsid w:val="467929D1"/>
    <w:rsid w:val="4679494F"/>
    <w:rsid w:val="467A6815"/>
    <w:rsid w:val="467E1A24"/>
    <w:rsid w:val="46866306"/>
    <w:rsid w:val="468A27AC"/>
    <w:rsid w:val="468D523D"/>
    <w:rsid w:val="468E6888"/>
    <w:rsid w:val="46914620"/>
    <w:rsid w:val="46963469"/>
    <w:rsid w:val="46964671"/>
    <w:rsid w:val="46981A1E"/>
    <w:rsid w:val="46987D2F"/>
    <w:rsid w:val="46995896"/>
    <w:rsid w:val="469D5DE8"/>
    <w:rsid w:val="46A35C12"/>
    <w:rsid w:val="46A55B0E"/>
    <w:rsid w:val="46A82992"/>
    <w:rsid w:val="46AA501B"/>
    <w:rsid w:val="46AD7A54"/>
    <w:rsid w:val="46B134DD"/>
    <w:rsid w:val="46B419BE"/>
    <w:rsid w:val="46B640D3"/>
    <w:rsid w:val="46B66C70"/>
    <w:rsid w:val="46CD1F17"/>
    <w:rsid w:val="46D126E3"/>
    <w:rsid w:val="46D67289"/>
    <w:rsid w:val="46DB64CD"/>
    <w:rsid w:val="46DD1D17"/>
    <w:rsid w:val="46E1018C"/>
    <w:rsid w:val="46E53AB0"/>
    <w:rsid w:val="46EE5C1E"/>
    <w:rsid w:val="46EE73D1"/>
    <w:rsid w:val="46F37479"/>
    <w:rsid w:val="46F43423"/>
    <w:rsid w:val="46FC2FE8"/>
    <w:rsid w:val="47033281"/>
    <w:rsid w:val="47065799"/>
    <w:rsid w:val="47073BE8"/>
    <w:rsid w:val="470872CF"/>
    <w:rsid w:val="470D53CA"/>
    <w:rsid w:val="47112FF6"/>
    <w:rsid w:val="4714139C"/>
    <w:rsid w:val="47143F5A"/>
    <w:rsid w:val="471563E1"/>
    <w:rsid w:val="47167C67"/>
    <w:rsid w:val="47333B1B"/>
    <w:rsid w:val="47351654"/>
    <w:rsid w:val="473D0BD8"/>
    <w:rsid w:val="47457188"/>
    <w:rsid w:val="47502F2C"/>
    <w:rsid w:val="47561DDC"/>
    <w:rsid w:val="47592D4E"/>
    <w:rsid w:val="47644CFB"/>
    <w:rsid w:val="47666951"/>
    <w:rsid w:val="47683159"/>
    <w:rsid w:val="476A7D07"/>
    <w:rsid w:val="478046DF"/>
    <w:rsid w:val="479766B4"/>
    <w:rsid w:val="479A2857"/>
    <w:rsid w:val="479A401E"/>
    <w:rsid w:val="479A472B"/>
    <w:rsid w:val="479D7800"/>
    <w:rsid w:val="47A240A4"/>
    <w:rsid w:val="47A60277"/>
    <w:rsid w:val="47A83BFD"/>
    <w:rsid w:val="47AA1593"/>
    <w:rsid w:val="47B44BED"/>
    <w:rsid w:val="47B77348"/>
    <w:rsid w:val="47BC3466"/>
    <w:rsid w:val="47BF5FB3"/>
    <w:rsid w:val="47D730B6"/>
    <w:rsid w:val="47DD6490"/>
    <w:rsid w:val="47DD6A91"/>
    <w:rsid w:val="47E62C82"/>
    <w:rsid w:val="47E9396D"/>
    <w:rsid w:val="47EB0853"/>
    <w:rsid w:val="47EB5BFA"/>
    <w:rsid w:val="47F46D42"/>
    <w:rsid w:val="47FA20F9"/>
    <w:rsid w:val="47FF3A74"/>
    <w:rsid w:val="48041F1C"/>
    <w:rsid w:val="480B1862"/>
    <w:rsid w:val="480B749D"/>
    <w:rsid w:val="480B7A59"/>
    <w:rsid w:val="48111DC2"/>
    <w:rsid w:val="48156BFB"/>
    <w:rsid w:val="481B5A1B"/>
    <w:rsid w:val="481E5F8D"/>
    <w:rsid w:val="48204877"/>
    <w:rsid w:val="482B39B5"/>
    <w:rsid w:val="482D350F"/>
    <w:rsid w:val="4835046F"/>
    <w:rsid w:val="483A4006"/>
    <w:rsid w:val="483B5BCA"/>
    <w:rsid w:val="483C2A8C"/>
    <w:rsid w:val="483F5850"/>
    <w:rsid w:val="48424FA1"/>
    <w:rsid w:val="484647AE"/>
    <w:rsid w:val="48481010"/>
    <w:rsid w:val="484F1901"/>
    <w:rsid w:val="485216B9"/>
    <w:rsid w:val="48594C05"/>
    <w:rsid w:val="485D5413"/>
    <w:rsid w:val="485D58DA"/>
    <w:rsid w:val="485F3492"/>
    <w:rsid w:val="4864535D"/>
    <w:rsid w:val="4865157E"/>
    <w:rsid w:val="48664A02"/>
    <w:rsid w:val="487141DB"/>
    <w:rsid w:val="48740F16"/>
    <w:rsid w:val="48747A97"/>
    <w:rsid w:val="487A2A25"/>
    <w:rsid w:val="487C0397"/>
    <w:rsid w:val="48850976"/>
    <w:rsid w:val="488C5FA3"/>
    <w:rsid w:val="488D22FD"/>
    <w:rsid w:val="488E25F1"/>
    <w:rsid w:val="48942964"/>
    <w:rsid w:val="489B4431"/>
    <w:rsid w:val="489E6A24"/>
    <w:rsid w:val="489F0E5C"/>
    <w:rsid w:val="48A252D4"/>
    <w:rsid w:val="48A36B1C"/>
    <w:rsid w:val="48A76BEF"/>
    <w:rsid w:val="48AB58AD"/>
    <w:rsid w:val="48AF255D"/>
    <w:rsid w:val="48B16C29"/>
    <w:rsid w:val="48B305F1"/>
    <w:rsid w:val="48B44D6B"/>
    <w:rsid w:val="48B470F8"/>
    <w:rsid w:val="48B75AB4"/>
    <w:rsid w:val="48C17F25"/>
    <w:rsid w:val="48C3444A"/>
    <w:rsid w:val="48C34E74"/>
    <w:rsid w:val="48C43EFA"/>
    <w:rsid w:val="48C538B2"/>
    <w:rsid w:val="48C70477"/>
    <w:rsid w:val="48C72E35"/>
    <w:rsid w:val="48C82BD7"/>
    <w:rsid w:val="48CB0DA2"/>
    <w:rsid w:val="48D25798"/>
    <w:rsid w:val="48DC218B"/>
    <w:rsid w:val="48EA0E66"/>
    <w:rsid w:val="48F04BA1"/>
    <w:rsid w:val="48F16696"/>
    <w:rsid w:val="48F447F8"/>
    <w:rsid w:val="48F612E3"/>
    <w:rsid w:val="48FE11C0"/>
    <w:rsid w:val="48FE59FA"/>
    <w:rsid w:val="49046287"/>
    <w:rsid w:val="49075A63"/>
    <w:rsid w:val="490933FA"/>
    <w:rsid w:val="490A4D2F"/>
    <w:rsid w:val="490A64AF"/>
    <w:rsid w:val="491709CE"/>
    <w:rsid w:val="49217522"/>
    <w:rsid w:val="49224F55"/>
    <w:rsid w:val="49241D45"/>
    <w:rsid w:val="4929748F"/>
    <w:rsid w:val="492F1F4E"/>
    <w:rsid w:val="4935171C"/>
    <w:rsid w:val="49366254"/>
    <w:rsid w:val="493A0176"/>
    <w:rsid w:val="49432B91"/>
    <w:rsid w:val="494502AA"/>
    <w:rsid w:val="494D614B"/>
    <w:rsid w:val="49505C0C"/>
    <w:rsid w:val="49535C21"/>
    <w:rsid w:val="49550FF0"/>
    <w:rsid w:val="495B528B"/>
    <w:rsid w:val="495C3370"/>
    <w:rsid w:val="49623CA4"/>
    <w:rsid w:val="49627779"/>
    <w:rsid w:val="496409A2"/>
    <w:rsid w:val="496459A7"/>
    <w:rsid w:val="496926EA"/>
    <w:rsid w:val="496E6FC2"/>
    <w:rsid w:val="49707759"/>
    <w:rsid w:val="49715E0F"/>
    <w:rsid w:val="49756718"/>
    <w:rsid w:val="497F5591"/>
    <w:rsid w:val="49822E2F"/>
    <w:rsid w:val="498950D9"/>
    <w:rsid w:val="498F38E6"/>
    <w:rsid w:val="498F7475"/>
    <w:rsid w:val="49927DFC"/>
    <w:rsid w:val="499322C4"/>
    <w:rsid w:val="4995326A"/>
    <w:rsid w:val="4995554E"/>
    <w:rsid w:val="499B3646"/>
    <w:rsid w:val="499C3504"/>
    <w:rsid w:val="499C3A4F"/>
    <w:rsid w:val="499E20E3"/>
    <w:rsid w:val="49A43EE6"/>
    <w:rsid w:val="49AB3DB8"/>
    <w:rsid w:val="49B4201A"/>
    <w:rsid w:val="49BA6924"/>
    <w:rsid w:val="49C20C6C"/>
    <w:rsid w:val="49CE0C89"/>
    <w:rsid w:val="49D93C20"/>
    <w:rsid w:val="49DA3FD3"/>
    <w:rsid w:val="49DA7AB7"/>
    <w:rsid w:val="49E028D9"/>
    <w:rsid w:val="49E353F8"/>
    <w:rsid w:val="49E46DD1"/>
    <w:rsid w:val="49E95933"/>
    <w:rsid w:val="49EF7DBB"/>
    <w:rsid w:val="49F7729C"/>
    <w:rsid w:val="49FA57FE"/>
    <w:rsid w:val="4A0238A8"/>
    <w:rsid w:val="4A0573EC"/>
    <w:rsid w:val="4A06116C"/>
    <w:rsid w:val="4A070E8E"/>
    <w:rsid w:val="4A09499E"/>
    <w:rsid w:val="4A14785B"/>
    <w:rsid w:val="4A175A09"/>
    <w:rsid w:val="4A19214F"/>
    <w:rsid w:val="4A1F7925"/>
    <w:rsid w:val="4A2322DF"/>
    <w:rsid w:val="4A293841"/>
    <w:rsid w:val="4A2D3660"/>
    <w:rsid w:val="4A2E7749"/>
    <w:rsid w:val="4A381BA6"/>
    <w:rsid w:val="4A3926E2"/>
    <w:rsid w:val="4A4172CE"/>
    <w:rsid w:val="4A43236C"/>
    <w:rsid w:val="4A4A176A"/>
    <w:rsid w:val="4A5370A6"/>
    <w:rsid w:val="4A5C4447"/>
    <w:rsid w:val="4A5C6983"/>
    <w:rsid w:val="4A643FBD"/>
    <w:rsid w:val="4A652ED9"/>
    <w:rsid w:val="4A6C0FC7"/>
    <w:rsid w:val="4A6D7FF3"/>
    <w:rsid w:val="4A732739"/>
    <w:rsid w:val="4A732F85"/>
    <w:rsid w:val="4A7413BF"/>
    <w:rsid w:val="4A7D09F3"/>
    <w:rsid w:val="4A825AD9"/>
    <w:rsid w:val="4A840EFE"/>
    <w:rsid w:val="4A850C8F"/>
    <w:rsid w:val="4A8953AB"/>
    <w:rsid w:val="4A8B5CEB"/>
    <w:rsid w:val="4A95521B"/>
    <w:rsid w:val="4A970AB1"/>
    <w:rsid w:val="4A9C6332"/>
    <w:rsid w:val="4AA4318E"/>
    <w:rsid w:val="4AA456B8"/>
    <w:rsid w:val="4AA55091"/>
    <w:rsid w:val="4AA75186"/>
    <w:rsid w:val="4AAF1B3A"/>
    <w:rsid w:val="4AB01D3D"/>
    <w:rsid w:val="4AB113DF"/>
    <w:rsid w:val="4AB60988"/>
    <w:rsid w:val="4AB75FB2"/>
    <w:rsid w:val="4ABB3CDE"/>
    <w:rsid w:val="4AC41CC1"/>
    <w:rsid w:val="4AC4256B"/>
    <w:rsid w:val="4AC66331"/>
    <w:rsid w:val="4AC860DD"/>
    <w:rsid w:val="4AD162A8"/>
    <w:rsid w:val="4AD25C89"/>
    <w:rsid w:val="4AD768C6"/>
    <w:rsid w:val="4AE0796F"/>
    <w:rsid w:val="4AE30444"/>
    <w:rsid w:val="4AE31B85"/>
    <w:rsid w:val="4AEF0F11"/>
    <w:rsid w:val="4AF902F5"/>
    <w:rsid w:val="4AF94D42"/>
    <w:rsid w:val="4AFF49AD"/>
    <w:rsid w:val="4B0107DC"/>
    <w:rsid w:val="4B020D4E"/>
    <w:rsid w:val="4B021266"/>
    <w:rsid w:val="4B081F1A"/>
    <w:rsid w:val="4B0A119A"/>
    <w:rsid w:val="4B0D6C0E"/>
    <w:rsid w:val="4B18018D"/>
    <w:rsid w:val="4B183767"/>
    <w:rsid w:val="4B1C66E8"/>
    <w:rsid w:val="4B205D7D"/>
    <w:rsid w:val="4B28587C"/>
    <w:rsid w:val="4B292683"/>
    <w:rsid w:val="4B294C7C"/>
    <w:rsid w:val="4B304EAD"/>
    <w:rsid w:val="4B376E2E"/>
    <w:rsid w:val="4B385AE2"/>
    <w:rsid w:val="4B387AC6"/>
    <w:rsid w:val="4B3D5656"/>
    <w:rsid w:val="4B3F4861"/>
    <w:rsid w:val="4B452D17"/>
    <w:rsid w:val="4B475D91"/>
    <w:rsid w:val="4B4C459F"/>
    <w:rsid w:val="4B5005ED"/>
    <w:rsid w:val="4B50566A"/>
    <w:rsid w:val="4B53122B"/>
    <w:rsid w:val="4B5456EE"/>
    <w:rsid w:val="4B571002"/>
    <w:rsid w:val="4B5863B7"/>
    <w:rsid w:val="4B5912E9"/>
    <w:rsid w:val="4B5D1DDE"/>
    <w:rsid w:val="4B632C97"/>
    <w:rsid w:val="4B683C6A"/>
    <w:rsid w:val="4B6867F3"/>
    <w:rsid w:val="4B705844"/>
    <w:rsid w:val="4B7224D0"/>
    <w:rsid w:val="4B731C20"/>
    <w:rsid w:val="4B774607"/>
    <w:rsid w:val="4B7A3C96"/>
    <w:rsid w:val="4B7D4F5D"/>
    <w:rsid w:val="4B82716C"/>
    <w:rsid w:val="4B857EC6"/>
    <w:rsid w:val="4B8829C1"/>
    <w:rsid w:val="4B8A2918"/>
    <w:rsid w:val="4B901807"/>
    <w:rsid w:val="4B9B25E4"/>
    <w:rsid w:val="4B9E314D"/>
    <w:rsid w:val="4BAC4DC9"/>
    <w:rsid w:val="4BAD4CA2"/>
    <w:rsid w:val="4BB42604"/>
    <w:rsid w:val="4BB548C0"/>
    <w:rsid w:val="4BB5799E"/>
    <w:rsid w:val="4BC456EF"/>
    <w:rsid w:val="4BC647B0"/>
    <w:rsid w:val="4BCB1BAE"/>
    <w:rsid w:val="4BD94F2A"/>
    <w:rsid w:val="4BDF4B49"/>
    <w:rsid w:val="4BE57E16"/>
    <w:rsid w:val="4BE819D0"/>
    <w:rsid w:val="4BE8649D"/>
    <w:rsid w:val="4BFC6FFD"/>
    <w:rsid w:val="4C001A94"/>
    <w:rsid w:val="4C0107B1"/>
    <w:rsid w:val="4C0236B4"/>
    <w:rsid w:val="4C0C091F"/>
    <w:rsid w:val="4C0E6780"/>
    <w:rsid w:val="4C1321BA"/>
    <w:rsid w:val="4C145CE0"/>
    <w:rsid w:val="4C16297D"/>
    <w:rsid w:val="4C170C9D"/>
    <w:rsid w:val="4C186D56"/>
    <w:rsid w:val="4C192F75"/>
    <w:rsid w:val="4C1C0BD6"/>
    <w:rsid w:val="4C1E085C"/>
    <w:rsid w:val="4C1E7AAC"/>
    <w:rsid w:val="4C20259F"/>
    <w:rsid w:val="4C2840CB"/>
    <w:rsid w:val="4C312ECF"/>
    <w:rsid w:val="4C422CA7"/>
    <w:rsid w:val="4C427C5C"/>
    <w:rsid w:val="4C5035A1"/>
    <w:rsid w:val="4C5F0B5D"/>
    <w:rsid w:val="4C606F33"/>
    <w:rsid w:val="4C6426ED"/>
    <w:rsid w:val="4C64471A"/>
    <w:rsid w:val="4C6C2FE2"/>
    <w:rsid w:val="4C6D5BD4"/>
    <w:rsid w:val="4C6F6529"/>
    <w:rsid w:val="4C77619E"/>
    <w:rsid w:val="4C860543"/>
    <w:rsid w:val="4C8740CC"/>
    <w:rsid w:val="4C8E48D8"/>
    <w:rsid w:val="4C9538F4"/>
    <w:rsid w:val="4C974009"/>
    <w:rsid w:val="4C987412"/>
    <w:rsid w:val="4C9C23CF"/>
    <w:rsid w:val="4CA6111C"/>
    <w:rsid w:val="4CA867B8"/>
    <w:rsid w:val="4CB3742C"/>
    <w:rsid w:val="4CB50036"/>
    <w:rsid w:val="4CB63E1D"/>
    <w:rsid w:val="4CBB546E"/>
    <w:rsid w:val="4CC17C3E"/>
    <w:rsid w:val="4CC25B41"/>
    <w:rsid w:val="4CC42462"/>
    <w:rsid w:val="4CC42E37"/>
    <w:rsid w:val="4CC82CB8"/>
    <w:rsid w:val="4CC91343"/>
    <w:rsid w:val="4CCB369E"/>
    <w:rsid w:val="4CCB7596"/>
    <w:rsid w:val="4CCD3D27"/>
    <w:rsid w:val="4CCD5921"/>
    <w:rsid w:val="4CCF0694"/>
    <w:rsid w:val="4CCF070A"/>
    <w:rsid w:val="4CCF2105"/>
    <w:rsid w:val="4CD550D5"/>
    <w:rsid w:val="4CDA21DD"/>
    <w:rsid w:val="4CDD4AFB"/>
    <w:rsid w:val="4CE472E9"/>
    <w:rsid w:val="4CEF0FC0"/>
    <w:rsid w:val="4CF045FC"/>
    <w:rsid w:val="4CF04CFC"/>
    <w:rsid w:val="4CF05C74"/>
    <w:rsid w:val="4CF12BC2"/>
    <w:rsid w:val="4CF26BC3"/>
    <w:rsid w:val="4CFB51DB"/>
    <w:rsid w:val="4CFC3F2E"/>
    <w:rsid w:val="4D063B0D"/>
    <w:rsid w:val="4D0F1680"/>
    <w:rsid w:val="4D0F52FA"/>
    <w:rsid w:val="4D1D6CA0"/>
    <w:rsid w:val="4D2609C6"/>
    <w:rsid w:val="4D2A2C09"/>
    <w:rsid w:val="4D2B2E28"/>
    <w:rsid w:val="4D2F5C2A"/>
    <w:rsid w:val="4D33448A"/>
    <w:rsid w:val="4D3E5124"/>
    <w:rsid w:val="4D3F3AA0"/>
    <w:rsid w:val="4D3F4840"/>
    <w:rsid w:val="4D410392"/>
    <w:rsid w:val="4D422D07"/>
    <w:rsid w:val="4D427BBD"/>
    <w:rsid w:val="4D497768"/>
    <w:rsid w:val="4D4A2E46"/>
    <w:rsid w:val="4D551492"/>
    <w:rsid w:val="4D5646C6"/>
    <w:rsid w:val="4D570519"/>
    <w:rsid w:val="4D5A2B9C"/>
    <w:rsid w:val="4D5C5732"/>
    <w:rsid w:val="4D601BF0"/>
    <w:rsid w:val="4D656800"/>
    <w:rsid w:val="4D6C4B60"/>
    <w:rsid w:val="4D6D0CFF"/>
    <w:rsid w:val="4D705706"/>
    <w:rsid w:val="4D7220A0"/>
    <w:rsid w:val="4D722EC4"/>
    <w:rsid w:val="4D76173E"/>
    <w:rsid w:val="4D795468"/>
    <w:rsid w:val="4D8814DC"/>
    <w:rsid w:val="4D8A58C0"/>
    <w:rsid w:val="4D8D11C1"/>
    <w:rsid w:val="4D8E6ECD"/>
    <w:rsid w:val="4D922BF5"/>
    <w:rsid w:val="4D986B63"/>
    <w:rsid w:val="4D9B5A29"/>
    <w:rsid w:val="4DA53BC8"/>
    <w:rsid w:val="4DA72415"/>
    <w:rsid w:val="4DB056F4"/>
    <w:rsid w:val="4DB41824"/>
    <w:rsid w:val="4DB95A69"/>
    <w:rsid w:val="4DBD1F3A"/>
    <w:rsid w:val="4DBD526D"/>
    <w:rsid w:val="4DC31B92"/>
    <w:rsid w:val="4DC43B24"/>
    <w:rsid w:val="4DCA77DE"/>
    <w:rsid w:val="4DD776ED"/>
    <w:rsid w:val="4DDF6E13"/>
    <w:rsid w:val="4DE5202D"/>
    <w:rsid w:val="4DE54C28"/>
    <w:rsid w:val="4DE60E50"/>
    <w:rsid w:val="4DEB4734"/>
    <w:rsid w:val="4DEF33CD"/>
    <w:rsid w:val="4DF00490"/>
    <w:rsid w:val="4DF20FEE"/>
    <w:rsid w:val="4DF2434F"/>
    <w:rsid w:val="4DF43CA1"/>
    <w:rsid w:val="4E007E98"/>
    <w:rsid w:val="4E016672"/>
    <w:rsid w:val="4E066F25"/>
    <w:rsid w:val="4E0939E5"/>
    <w:rsid w:val="4E1561BE"/>
    <w:rsid w:val="4E176DF3"/>
    <w:rsid w:val="4E1A2F68"/>
    <w:rsid w:val="4E1E7D0E"/>
    <w:rsid w:val="4E210A5C"/>
    <w:rsid w:val="4E2C6A36"/>
    <w:rsid w:val="4E342F40"/>
    <w:rsid w:val="4E3A2C21"/>
    <w:rsid w:val="4E412A4D"/>
    <w:rsid w:val="4E4475F5"/>
    <w:rsid w:val="4E587463"/>
    <w:rsid w:val="4E5A3449"/>
    <w:rsid w:val="4E5A5499"/>
    <w:rsid w:val="4E656FCA"/>
    <w:rsid w:val="4E68543B"/>
    <w:rsid w:val="4E6906EE"/>
    <w:rsid w:val="4E694E99"/>
    <w:rsid w:val="4E6D1740"/>
    <w:rsid w:val="4E7125DA"/>
    <w:rsid w:val="4E795FE9"/>
    <w:rsid w:val="4E797F06"/>
    <w:rsid w:val="4E8D3751"/>
    <w:rsid w:val="4E8D41BC"/>
    <w:rsid w:val="4E904370"/>
    <w:rsid w:val="4E937457"/>
    <w:rsid w:val="4E937763"/>
    <w:rsid w:val="4E991182"/>
    <w:rsid w:val="4E9E5BA9"/>
    <w:rsid w:val="4E9F5613"/>
    <w:rsid w:val="4EA9172F"/>
    <w:rsid w:val="4EAC241A"/>
    <w:rsid w:val="4EB67945"/>
    <w:rsid w:val="4EC420B9"/>
    <w:rsid w:val="4EC91E2C"/>
    <w:rsid w:val="4ECA2CB3"/>
    <w:rsid w:val="4ECD7B05"/>
    <w:rsid w:val="4ED056C5"/>
    <w:rsid w:val="4ED32EBD"/>
    <w:rsid w:val="4EE17B77"/>
    <w:rsid w:val="4EE44103"/>
    <w:rsid w:val="4EE61722"/>
    <w:rsid w:val="4EE86D63"/>
    <w:rsid w:val="4EEC3838"/>
    <w:rsid w:val="4EEE11A3"/>
    <w:rsid w:val="4EF07A0E"/>
    <w:rsid w:val="4EF07E6E"/>
    <w:rsid w:val="4EFA68DB"/>
    <w:rsid w:val="4EFE4EC2"/>
    <w:rsid w:val="4EFF3444"/>
    <w:rsid w:val="4F037BFA"/>
    <w:rsid w:val="4F0441E5"/>
    <w:rsid w:val="4F0736E2"/>
    <w:rsid w:val="4F0F1D99"/>
    <w:rsid w:val="4F155F27"/>
    <w:rsid w:val="4F16131E"/>
    <w:rsid w:val="4F166C4D"/>
    <w:rsid w:val="4F181305"/>
    <w:rsid w:val="4F1A238F"/>
    <w:rsid w:val="4F1D1400"/>
    <w:rsid w:val="4F1D1653"/>
    <w:rsid w:val="4F2C365D"/>
    <w:rsid w:val="4F36758C"/>
    <w:rsid w:val="4F376D93"/>
    <w:rsid w:val="4F3957DF"/>
    <w:rsid w:val="4F3D4163"/>
    <w:rsid w:val="4F50208E"/>
    <w:rsid w:val="4F560A53"/>
    <w:rsid w:val="4F611147"/>
    <w:rsid w:val="4F6E6F86"/>
    <w:rsid w:val="4F7278C6"/>
    <w:rsid w:val="4F764CC2"/>
    <w:rsid w:val="4F823D55"/>
    <w:rsid w:val="4F85034E"/>
    <w:rsid w:val="4F9000F4"/>
    <w:rsid w:val="4F983E33"/>
    <w:rsid w:val="4F9B5328"/>
    <w:rsid w:val="4FAB2D3A"/>
    <w:rsid w:val="4FAB3627"/>
    <w:rsid w:val="4FAB7893"/>
    <w:rsid w:val="4FB204D9"/>
    <w:rsid w:val="4FB40C2C"/>
    <w:rsid w:val="4FB43616"/>
    <w:rsid w:val="4FBA52BE"/>
    <w:rsid w:val="4FBA74EE"/>
    <w:rsid w:val="4FBB5569"/>
    <w:rsid w:val="4FBF1E32"/>
    <w:rsid w:val="4FC803AA"/>
    <w:rsid w:val="4FCB45DF"/>
    <w:rsid w:val="4FCF2495"/>
    <w:rsid w:val="4FD365FC"/>
    <w:rsid w:val="4FD62D61"/>
    <w:rsid w:val="4FDC6418"/>
    <w:rsid w:val="4FDE0BFE"/>
    <w:rsid w:val="4FDF0E90"/>
    <w:rsid w:val="4FE13662"/>
    <w:rsid w:val="4FE15781"/>
    <w:rsid w:val="4FE3603D"/>
    <w:rsid w:val="4FE36D74"/>
    <w:rsid w:val="4FE9598E"/>
    <w:rsid w:val="4FE95A21"/>
    <w:rsid w:val="4FF5506D"/>
    <w:rsid w:val="4FFE1157"/>
    <w:rsid w:val="4FFF3806"/>
    <w:rsid w:val="4FFF49BB"/>
    <w:rsid w:val="5004344D"/>
    <w:rsid w:val="50046739"/>
    <w:rsid w:val="50095827"/>
    <w:rsid w:val="50100572"/>
    <w:rsid w:val="501032F0"/>
    <w:rsid w:val="5014542B"/>
    <w:rsid w:val="50167359"/>
    <w:rsid w:val="50186BF6"/>
    <w:rsid w:val="502751AB"/>
    <w:rsid w:val="502C4247"/>
    <w:rsid w:val="502D25A0"/>
    <w:rsid w:val="502D660A"/>
    <w:rsid w:val="50347D28"/>
    <w:rsid w:val="50363B3A"/>
    <w:rsid w:val="503D2073"/>
    <w:rsid w:val="503D5373"/>
    <w:rsid w:val="503E4F3A"/>
    <w:rsid w:val="50412F77"/>
    <w:rsid w:val="504261AC"/>
    <w:rsid w:val="504311C0"/>
    <w:rsid w:val="50435189"/>
    <w:rsid w:val="50461396"/>
    <w:rsid w:val="504B1149"/>
    <w:rsid w:val="504B5456"/>
    <w:rsid w:val="5052029B"/>
    <w:rsid w:val="505F1426"/>
    <w:rsid w:val="506309DB"/>
    <w:rsid w:val="50752AF6"/>
    <w:rsid w:val="50771C00"/>
    <w:rsid w:val="508A668E"/>
    <w:rsid w:val="509A3231"/>
    <w:rsid w:val="509C736A"/>
    <w:rsid w:val="50A27585"/>
    <w:rsid w:val="50A866F2"/>
    <w:rsid w:val="50AC0B91"/>
    <w:rsid w:val="50AF1C59"/>
    <w:rsid w:val="50B139BD"/>
    <w:rsid w:val="50B92297"/>
    <w:rsid w:val="50BD1498"/>
    <w:rsid w:val="50BE1B1D"/>
    <w:rsid w:val="50BE494F"/>
    <w:rsid w:val="50C2785E"/>
    <w:rsid w:val="50C371C0"/>
    <w:rsid w:val="50C51F05"/>
    <w:rsid w:val="50C65C4E"/>
    <w:rsid w:val="50C65E30"/>
    <w:rsid w:val="50C75F36"/>
    <w:rsid w:val="50CC5D21"/>
    <w:rsid w:val="50CE70F5"/>
    <w:rsid w:val="50D228CF"/>
    <w:rsid w:val="50E63519"/>
    <w:rsid w:val="50ED76FB"/>
    <w:rsid w:val="50F00215"/>
    <w:rsid w:val="50F568D9"/>
    <w:rsid w:val="50FD2A03"/>
    <w:rsid w:val="510D4A1E"/>
    <w:rsid w:val="510E3DC2"/>
    <w:rsid w:val="51184E6D"/>
    <w:rsid w:val="51187610"/>
    <w:rsid w:val="511C491F"/>
    <w:rsid w:val="51234937"/>
    <w:rsid w:val="512B350B"/>
    <w:rsid w:val="513571BD"/>
    <w:rsid w:val="51375EB3"/>
    <w:rsid w:val="513853CC"/>
    <w:rsid w:val="51392D77"/>
    <w:rsid w:val="513D483E"/>
    <w:rsid w:val="513F081D"/>
    <w:rsid w:val="514C1E16"/>
    <w:rsid w:val="514F0A29"/>
    <w:rsid w:val="515361F4"/>
    <w:rsid w:val="515529BB"/>
    <w:rsid w:val="515A64E3"/>
    <w:rsid w:val="515C30A6"/>
    <w:rsid w:val="5161698E"/>
    <w:rsid w:val="5163574F"/>
    <w:rsid w:val="51651617"/>
    <w:rsid w:val="5179450A"/>
    <w:rsid w:val="51797588"/>
    <w:rsid w:val="517C0CA0"/>
    <w:rsid w:val="517D17DB"/>
    <w:rsid w:val="517F00BC"/>
    <w:rsid w:val="51861BC2"/>
    <w:rsid w:val="5188076F"/>
    <w:rsid w:val="5195533B"/>
    <w:rsid w:val="519645E3"/>
    <w:rsid w:val="5199124A"/>
    <w:rsid w:val="519D2F03"/>
    <w:rsid w:val="51AA27FB"/>
    <w:rsid w:val="51AB0562"/>
    <w:rsid w:val="51AD6F40"/>
    <w:rsid w:val="51AE5103"/>
    <w:rsid w:val="51BE2EAE"/>
    <w:rsid w:val="51C0716E"/>
    <w:rsid w:val="51C24631"/>
    <w:rsid w:val="51D42177"/>
    <w:rsid w:val="51D43598"/>
    <w:rsid w:val="51DA51E8"/>
    <w:rsid w:val="51DA5890"/>
    <w:rsid w:val="51E31C77"/>
    <w:rsid w:val="51E90CD5"/>
    <w:rsid w:val="51EE7B3E"/>
    <w:rsid w:val="51F51BD1"/>
    <w:rsid w:val="51F62D3E"/>
    <w:rsid w:val="51F96848"/>
    <w:rsid w:val="51FA409C"/>
    <w:rsid w:val="51FB40B5"/>
    <w:rsid w:val="51FC4FF6"/>
    <w:rsid w:val="52063C95"/>
    <w:rsid w:val="52073487"/>
    <w:rsid w:val="520A7B89"/>
    <w:rsid w:val="520E648E"/>
    <w:rsid w:val="520F50CF"/>
    <w:rsid w:val="521C5D43"/>
    <w:rsid w:val="521D7ED7"/>
    <w:rsid w:val="52216835"/>
    <w:rsid w:val="52233879"/>
    <w:rsid w:val="52257DA4"/>
    <w:rsid w:val="52325EE7"/>
    <w:rsid w:val="5239194F"/>
    <w:rsid w:val="524D342E"/>
    <w:rsid w:val="524E54BD"/>
    <w:rsid w:val="5257696B"/>
    <w:rsid w:val="525D4BC4"/>
    <w:rsid w:val="52612620"/>
    <w:rsid w:val="526325FA"/>
    <w:rsid w:val="526478E1"/>
    <w:rsid w:val="526A1A2F"/>
    <w:rsid w:val="526A546C"/>
    <w:rsid w:val="52790FD9"/>
    <w:rsid w:val="52887A7D"/>
    <w:rsid w:val="52894DE6"/>
    <w:rsid w:val="528C5E23"/>
    <w:rsid w:val="528D1034"/>
    <w:rsid w:val="52993DA6"/>
    <w:rsid w:val="529B5EE8"/>
    <w:rsid w:val="529F0D9B"/>
    <w:rsid w:val="52BC0926"/>
    <w:rsid w:val="52CA3D8F"/>
    <w:rsid w:val="52CD21D8"/>
    <w:rsid w:val="52CF0A4A"/>
    <w:rsid w:val="52DA2383"/>
    <w:rsid w:val="52DC66BA"/>
    <w:rsid w:val="52DC7C0E"/>
    <w:rsid w:val="52DD5B35"/>
    <w:rsid w:val="52DE6D3F"/>
    <w:rsid w:val="52DF42EC"/>
    <w:rsid w:val="52E427EA"/>
    <w:rsid w:val="52EB52A5"/>
    <w:rsid w:val="52EE154F"/>
    <w:rsid w:val="52EF0051"/>
    <w:rsid w:val="52F02D8D"/>
    <w:rsid w:val="52F24426"/>
    <w:rsid w:val="52FC1C88"/>
    <w:rsid w:val="53047263"/>
    <w:rsid w:val="5306702F"/>
    <w:rsid w:val="53112C1D"/>
    <w:rsid w:val="531241BA"/>
    <w:rsid w:val="53155215"/>
    <w:rsid w:val="531621BA"/>
    <w:rsid w:val="531D0F10"/>
    <w:rsid w:val="531F532A"/>
    <w:rsid w:val="53207ABD"/>
    <w:rsid w:val="53264D3B"/>
    <w:rsid w:val="53290BFD"/>
    <w:rsid w:val="53293966"/>
    <w:rsid w:val="532B3E9B"/>
    <w:rsid w:val="532C389F"/>
    <w:rsid w:val="532D753B"/>
    <w:rsid w:val="532F6301"/>
    <w:rsid w:val="533E0346"/>
    <w:rsid w:val="534246C3"/>
    <w:rsid w:val="53477D18"/>
    <w:rsid w:val="53495ACD"/>
    <w:rsid w:val="534A5181"/>
    <w:rsid w:val="534D1493"/>
    <w:rsid w:val="534E11CE"/>
    <w:rsid w:val="535337EC"/>
    <w:rsid w:val="53556970"/>
    <w:rsid w:val="535E141D"/>
    <w:rsid w:val="535F500E"/>
    <w:rsid w:val="536250CC"/>
    <w:rsid w:val="5366542B"/>
    <w:rsid w:val="536D41AE"/>
    <w:rsid w:val="536F7573"/>
    <w:rsid w:val="5370597D"/>
    <w:rsid w:val="53763151"/>
    <w:rsid w:val="53794E20"/>
    <w:rsid w:val="537A78AC"/>
    <w:rsid w:val="537D3C2F"/>
    <w:rsid w:val="538C7861"/>
    <w:rsid w:val="53914712"/>
    <w:rsid w:val="5391597D"/>
    <w:rsid w:val="53934D52"/>
    <w:rsid w:val="53943B08"/>
    <w:rsid w:val="53945FB6"/>
    <w:rsid w:val="53947DE7"/>
    <w:rsid w:val="539650C0"/>
    <w:rsid w:val="53A106E5"/>
    <w:rsid w:val="53A21F9D"/>
    <w:rsid w:val="53A27D95"/>
    <w:rsid w:val="53A3255B"/>
    <w:rsid w:val="53A911A1"/>
    <w:rsid w:val="53AD7BDA"/>
    <w:rsid w:val="53BB51C6"/>
    <w:rsid w:val="53BE1FB8"/>
    <w:rsid w:val="53C34D17"/>
    <w:rsid w:val="53C40B3B"/>
    <w:rsid w:val="53C817A7"/>
    <w:rsid w:val="53C877C6"/>
    <w:rsid w:val="53D153F9"/>
    <w:rsid w:val="53DB35A3"/>
    <w:rsid w:val="53DC2808"/>
    <w:rsid w:val="53DD2CA6"/>
    <w:rsid w:val="53DE4BEA"/>
    <w:rsid w:val="53DF54A9"/>
    <w:rsid w:val="53E07B00"/>
    <w:rsid w:val="53E27BE1"/>
    <w:rsid w:val="53EC3D29"/>
    <w:rsid w:val="53EE37DC"/>
    <w:rsid w:val="53F90D34"/>
    <w:rsid w:val="53FA05A6"/>
    <w:rsid w:val="53FF20DD"/>
    <w:rsid w:val="54002BFD"/>
    <w:rsid w:val="54066342"/>
    <w:rsid w:val="54096B9B"/>
    <w:rsid w:val="540A0F22"/>
    <w:rsid w:val="54107057"/>
    <w:rsid w:val="541942B6"/>
    <w:rsid w:val="541A3E14"/>
    <w:rsid w:val="541A40BD"/>
    <w:rsid w:val="541F38E3"/>
    <w:rsid w:val="5420418E"/>
    <w:rsid w:val="542A1803"/>
    <w:rsid w:val="542A3FEF"/>
    <w:rsid w:val="542A5504"/>
    <w:rsid w:val="542F7A60"/>
    <w:rsid w:val="54346136"/>
    <w:rsid w:val="5438183D"/>
    <w:rsid w:val="543A5A8E"/>
    <w:rsid w:val="54525BFB"/>
    <w:rsid w:val="5452765B"/>
    <w:rsid w:val="54550067"/>
    <w:rsid w:val="54580F5A"/>
    <w:rsid w:val="545D3E4A"/>
    <w:rsid w:val="54757648"/>
    <w:rsid w:val="5478695B"/>
    <w:rsid w:val="54860559"/>
    <w:rsid w:val="548810E8"/>
    <w:rsid w:val="54906088"/>
    <w:rsid w:val="54907EF0"/>
    <w:rsid w:val="549438A5"/>
    <w:rsid w:val="549C64AD"/>
    <w:rsid w:val="549C6534"/>
    <w:rsid w:val="54A14490"/>
    <w:rsid w:val="54A153FA"/>
    <w:rsid w:val="54A36C2B"/>
    <w:rsid w:val="54AB29C5"/>
    <w:rsid w:val="54AB36A1"/>
    <w:rsid w:val="54B171C4"/>
    <w:rsid w:val="54B61DA8"/>
    <w:rsid w:val="54B62C99"/>
    <w:rsid w:val="54BC1CEB"/>
    <w:rsid w:val="54CB22D7"/>
    <w:rsid w:val="54CC175C"/>
    <w:rsid w:val="54CC47C4"/>
    <w:rsid w:val="54CD258C"/>
    <w:rsid w:val="54CE1B9D"/>
    <w:rsid w:val="54D034B4"/>
    <w:rsid w:val="54D46726"/>
    <w:rsid w:val="54DF688B"/>
    <w:rsid w:val="54E85E2E"/>
    <w:rsid w:val="54E95643"/>
    <w:rsid w:val="550E6C32"/>
    <w:rsid w:val="551C2E90"/>
    <w:rsid w:val="552D52C7"/>
    <w:rsid w:val="553343DC"/>
    <w:rsid w:val="55397CF2"/>
    <w:rsid w:val="5546565D"/>
    <w:rsid w:val="554E0863"/>
    <w:rsid w:val="555737A6"/>
    <w:rsid w:val="55577AFF"/>
    <w:rsid w:val="55597711"/>
    <w:rsid w:val="55611FED"/>
    <w:rsid w:val="556C1CC4"/>
    <w:rsid w:val="55712540"/>
    <w:rsid w:val="55731953"/>
    <w:rsid w:val="55743D64"/>
    <w:rsid w:val="5577741D"/>
    <w:rsid w:val="557C7C08"/>
    <w:rsid w:val="557E261A"/>
    <w:rsid w:val="558126EC"/>
    <w:rsid w:val="55851522"/>
    <w:rsid w:val="558628A6"/>
    <w:rsid w:val="5587795D"/>
    <w:rsid w:val="55883323"/>
    <w:rsid w:val="55883669"/>
    <w:rsid w:val="558A44CE"/>
    <w:rsid w:val="55906233"/>
    <w:rsid w:val="55910661"/>
    <w:rsid w:val="559537DA"/>
    <w:rsid w:val="55A47B02"/>
    <w:rsid w:val="55A578C3"/>
    <w:rsid w:val="55A63100"/>
    <w:rsid w:val="55AB1B1D"/>
    <w:rsid w:val="55B07143"/>
    <w:rsid w:val="55B07AA1"/>
    <w:rsid w:val="55B403DD"/>
    <w:rsid w:val="55B50135"/>
    <w:rsid w:val="55B511EE"/>
    <w:rsid w:val="55C0140E"/>
    <w:rsid w:val="55C07EE4"/>
    <w:rsid w:val="55C305A6"/>
    <w:rsid w:val="55C51E8F"/>
    <w:rsid w:val="55C529C2"/>
    <w:rsid w:val="55CC27C2"/>
    <w:rsid w:val="55CC4541"/>
    <w:rsid w:val="55CF48E7"/>
    <w:rsid w:val="55D0342A"/>
    <w:rsid w:val="55D3385E"/>
    <w:rsid w:val="55D50C9C"/>
    <w:rsid w:val="55D849A1"/>
    <w:rsid w:val="55E31A15"/>
    <w:rsid w:val="55E5367A"/>
    <w:rsid w:val="55E83D2F"/>
    <w:rsid w:val="55F04DC9"/>
    <w:rsid w:val="55F37542"/>
    <w:rsid w:val="55FE6BCF"/>
    <w:rsid w:val="56017EDE"/>
    <w:rsid w:val="56027E43"/>
    <w:rsid w:val="56030BD3"/>
    <w:rsid w:val="560469FC"/>
    <w:rsid w:val="5609174E"/>
    <w:rsid w:val="561036D3"/>
    <w:rsid w:val="561B57AD"/>
    <w:rsid w:val="5621112A"/>
    <w:rsid w:val="56214A7B"/>
    <w:rsid w:val="562E1F90"/>
    <w:rsid w:val="562F7AA7"/>
    <w:rsid w:val="56343C80"/>
    <w:rsid w:val="56373380"/>
    <w:rsid w:val="563B616D"/>
    <w:rsid w:val="56436207"/>
    <w:rsid w:val="56456373"/>
    <w:rsid w:val="5655420D"/>
    <w:rsid w:val="565B61BB"/>
    <w:rsid w:val="565D5FB6"/>
    <w:rsid w:val="566510CB"/>
    <w:rsid w:val="567215D4"/>
    <w:rsid w:val="56793BB2"/>
    <w:rsid w:val="56797DE1"/>
    <w:rsid w:val="567A6CC0"/>
    <w:rsid w:val="567B14A9"/>
    <w:rsid w:val="567E4F7B"/>
    <w:rsid w:val="56840A2D"/>
    <w:rsid w:val="568D0940"/>
    <w:rsid w:val="56902B88"/>
    <w:rsid w:val="56927DA4"/>
    <w:rsid w:val="5696495C"/>
    <w:rsid w:val="56A032E3"/>
    <w:rsid w:val="56A04928"/>
    <w:rsid w:val="56A418DC"/>
    <w:rsid w:val="56A50EBB"/>
    <w:rsid w:val="56A83AE3"/>
    <w:rsid w:val="56AB6535"/>
    <w:rsid w:val="56AD02E2"/>
    <w:rsid w:val="56AD339E"/>
    <w:rsid w:val="56AE2AEE"/>
    <w:rsid w:val="56B0619F"/>
    <w:rsid w:val="56B16CBD"/>
    <w:rsid w:val="56B3450E"/>
    <w:rsid w:val="56B96F66"/>
    <w:rsid w:val="56BE75C0"/>
    <w:rsid w:val="56C12AE4"/>
    <w:rsid w:val="56C71CAD"/>
    <w:rsid w:val="56CB6227"/>
    <w:rsid w:val="56CD63CA"/>
    <w:rsid w:val="56CE5F20"/>
    <w:rsid w:val="56D1338D"/>
    <w:rsid w:val="56D31AC8"/>
    <w:rsid w:val="56DA3EBA"/>
    <w:rsid w:val="56DA4B2C"/>
    <w:rsid w:val="56DE40C5"/>
    <w:rsid w:val="56E33383"/>
    <w:rsid w:val="56E81DBE"/>
    <w:rsid w:val="56EA65D6"/>
    <w:rsid w:val="56ED5E03"/>
    <w:rsid w:val="56F456C1"/>
    <w:rsid w:val="56FB0134"/>
    <w:rsid w:val="56FC2728"/>
    <w:rsid w:val="57012351"/>
    <w:rsid w:val="57095761"/>
    <w:rsid w:val="571777C3"/>
    <w:rsid w:val="571B1F7E"/>
    <w:rsid w:val="571D34AC"/>
    <w:rsid w:val="571F270E"/>
    <w:rsid w:val="57284B98"/>
    <w:rsid w:val="57292292"/>
    <w:rsid w:val="572C6176"/>
    <w:rsid w:val="572E4793"/>
    <w:rsid w:val="572E7E52"/>
    <w:rsid w:val="57315E6B"/>
    <w:rsid w:val="573403E6"/>
    <w:rsid w:val="573459F0"/>
    <w:rsid w:val="573B3910"/>
    <w:rsid w:val="574460A0"/>
    <w:rsid w:val="57484376"/>
    <w:rsid w:val="574B4B12"/>
    <w:rsid w:val="575014AF"/>
    <w:rsid w:val="575425F9"/>
    <w:rsid w:val="575430BB"/>
    <w:rsid w:val="575A2017"/>
    <w:rsid w:val="575C5FBB"/>
    <w:rsid w:val="57685F5D"/>
    <w:rsid w:val="57692A18"/>
    <w:rsid w:val="576D6DDF"/>
    <w:rsid w:val="57702374"/>
    <w:rsid w:val="57780ED4"/>
    <w:rsid w:val="577E3A90"/>
    <w:rsid w:val="57886A0D"/>
    <w:rsid w:val="57896321"/>
    <w:rsid w:val="578B78A1"/>
    <w:rsid w:val="57903D73"/>
    <w:rsid w:val="57955219"/>
    <w:rsid w:val="579A7C07"/>
    <w:rsid w:val="579F309F"/>
    <w:rsid w:val="57A46FEE"/>
    <w:rsid w:val="57AA5A5F"/>
    <w:rsid w:val="57AF7168"/>
    <w:rsid w:val="57B02763"/>
    <w:rsid w:val="57B6547E"/>
    <w:rsid w:val="57BC7C9C"/>
    <w:rsid w:val="57BE4E98"/>
    <w:rsid w:val="57BF6387"/>
    <w:rsid w:val="57C77A65"/>
    <w:rsid w:val="57D01AAC"/>
    <w:rsid w:val="57D1117F"/>
    <w:rsid w:val="57DA0D38"/>
    <w:rsid w:val="57DD4E33"/>
    <w:rsid w:val="57DE0A52"/>
    <w:rsid w:val="57DF6500"/>
    <w:rsid w:val="57E143B6"/>
    <w:rsid w:val="57E60B9B"/>
    <w:rsid w:val="57E73B61"/>
    <w:rsid w:val="57F01737"/>
    <w:rsid w:val="57F316B2"/>
    <w:rsid w:val="57F73696"/>
    <w:rsid w:val="57FA3FC4"/>
    <w:rsid w:val="58005923"/>
    <w:rsid w:val="5803475B"/>
    <w:rsid w:val="580A6FBE"/>
    <w:rsid w:val="580F0825"/>
    <w:rsid w:val="580F5BC1"/>
    <w:rsid w:val="58153B58"/>
    <w:rsid w:val="581C6E66"/>
    <w:rsid w:val="58222A6D"/>
    <w:rsid w:val="5822786C"/>
    <w:rsid w:val="58243371"/>
    <w:rsid w:val="58293CFC"/>
    <w:rsid w:val="58302962"/>
    <w:rsid w:val="5835010B"/>
    <w:rsid w:val="583C0D03"/>
    <w:rsid w:val="58434BAC"/>
    <w:rsid w:val="58462B56"/>
    <w:rsid w:val="5846366F"/>
    <w:rsid w:val="584654C9"/>
    <w:rsid w:val="58470241"/>
    <w:rsid w:val="58481E8A"/>
    <w:rsid w:val="58484F55"/>
    <w:rsid w:val="584C65D6"/>
    <w:rsid w:val="58514445"/>
    <w:rsid w:val="58563BF0"/>
    <w:rsid w:val="58590DD2"/>
    <w:rsid w:val="5863473D"/>
    <w:rsid w:val="586C2A31"/>
    <w:rsid w:val="586E1447"/>
    <w:rsid w:val="587346BD"/>
    <w:rsid w:val="58766ECF"/>
    <w:rsid w:val="5878285F"/>
    <w:rsid w:val="58785165"/>
    <w:rsid w:val="587E2D46"/>
    <w:rsid w:val="588509DD"/>
    <w:rsid w:val="588D555E"/>
    <w:rsid w:val="58937684"/>
    <w:rsid w:val="58953B9F"/>
    <w:rsid w:val="58957A8C"/>
    <w:rsid w:val="589968A1"/>
    <w:rsid w:val="589C0BA1"/>
    <w:rsid w:val="589F18E4"/>
    <w:rsid w:val="58A26665"/>
    <w:rsid w:val="58A948C8"/>
    <w:rsid w:val="58B156C4"/>
    <w:rsid w:val="58B47394"/>
    <w:rsid w:val="58B80220"/>
    <w:rsid w:val="58B8443B"/>
    <w:rsid w:val="58B92428"/>
    <w:rsid w:val="58BC4002"/>
    <w:rsid w:val="58C3426C"/>
    <w:rsid w:val="58C47A68"/>
    <w:rsid w:val="58C6178A"/>
    <w:rsid w:val="58C77385"/>
    <w:rsid w:val="58D720A4"/>
    <w:rsid w:val="58DB456A"/>
    <w:rsid w:val="58E56245"/>
    <w:rsid w:val="58E909DD"/>
    <w:rsid w:val="58EB1C90"/>
    <w:rsid w:val="58EE536D"/>
    <w:rsid w:val="58F57D12"/>
    <w:rsid w:val="59094784"/>
    <w:rsid w:val="59255E05"/>
    <w:rsid w:val="59267EF0"/>
    <w:rsid w:val="59287A6A"/>
    <w:rsid w:val="592C2EB2"/>
    <w:rsid w:val="59376E4C"/>
    <w:rsid w:val="59421F7E"/>
    <w:rsid w:val="59424509"/>
    <w:rsid w:val="594935F2"/>
    <w:rsid w:val="594C2750"/>
    <w:rsid w:val="59595860"/>
    <w:rsid w:val="595C0946"/>
    <w:rsid w:val="59604A5E"/>
    <w:rsid w:val="59642A7A"/>
    <w:rsid w:val="59655357"/>
    <w:rsid w:val="596957AE"/>
    <w:rsid w:val="596C2A61"/>
    <w:rsid w:val="596D32B4"/>
    <w:rsid w:val="596F5485"/>
    <w:rsid w:val="5974082A"/>
    <w:rsid w:val="59774D3E"/>
    <w:rsid w:val="597C00C4"/>
    <w:rsid w:val="598635D7"/>
    <w:rsid w:val="599148CE"/>
    <w:rsid w:val="59946630"/>
    <w:rsid w:val="59962EC1"/>
    <w:rsid w:val="599A1291"/>
    <w:rsid w:val="599E418E"/>
    <w:rsid w:val="59A22883"/>
    <w:rsid w:val="59A24ED6"/>
    <w:rsid w:val="59AF0514"/>
    <w:rsid w:val="59B6531E"/>
    <w:rsid w:val="59B75E8A"/>
    <w:rsid w:val="59B8561E"/>
    <w:rsid w:val="59BC0F73"/>
    <w:rsid w:val="59BD2911"/>
    <w:rsid w:val="59BE1CC3"/>
    <w:rsid w:val="59C13A26"/>
    <w:rsid w:val="59C23D49"/>
    <w:rsid w:val="59C91BF3"/>
    <w:rsid w:val="59CB73DC"/>
    <w:rsid w:val="59D02E4C"/>
    <w:rsid w:val="59D906FD"/>
    <w:rsid w:val="59D96DAD"/>
    <w:rsid w:val="59DA6C9E"/>
    <w:rsid w:val="59DE00AF"/>
    <w:rsid w:val="59E11C9B"/>
    <w:rsid w:val="59E143BA"/>
    <w:rsid w:val="59E2737B"/>
    <w:rsid w:val="59EB0D06"/>
    <w:rsid w:val="59F32024"/>
    <w:rsid w:val="59F44D39"/>
    <w:rsid w:val="59F511B7"/>
    <w:rsid w:val="59FC2EE5"/>
    <w:rsid w:val="59FE191D"/>
    <w:rsid w:val="59FF2F18"/>
    <w:rsid w:val="5A0407DD"/>
    <w:rsid w:val="5A05470A"/>
    <w:rsid w:val="5A0640DE"/>
    <w:rsid w:val="5A067953"/>
    <w:rsid w:val="5A1215B1"/>
    <w:rsid w:val="5A1D0AF2"/>
    <w:rsid w:val="5A1D5F5B"/>
    <w:rsid w:val="5A1E6A9C"/>
    <w:rsid w:val="5A1F5196"/>
    <w:rsid w:val="5A227353"/>
    <w:rsid w:val="5A265096"/>
    <w:rsid w:val="5A292273"/>
    <w:rsid w:val="5A2943A6"/>
    <w:rsid w:val="5A2A6592"/>
    <w:rsid w:val="5A2D0557"/>
    <w:rsid w:val="5A340B09"/>
    <w:rsid w:val="5A3F3527"/>
    <w:rsid w:val="5A402C97"/>
    <w:rsid w:val="5A440B9D"/>
    <w:rsid w:val="5A447FBD"/>
    <w:rsid w:val="5A4907B6"/>
    <w:rsid w:val="5A5128C3"/>
    <w:rsid w:val="5A525A46"/>
    <w:rsid w:val="5A5406EE"/>
    <w:rsid w:val="5A575C31"/>
    <w:rsid w:val="5A5A2DA4"/>
    <w:rsid w:val="5A5B1DED"/>
    <w:rsid w:val="5A5C7772"/>
    <w:rsid w:val="5A6169CB"/>
    <w:rsid w:val="5A6336A1"/>
    <w:rsid w:val="5A65704E"/>
    <w:rsid w:val="5A6B7C88"/>
    <w:rsid w:val="5A6F5AD1"/>
    <w:rsid w:val="5A73612A"/>
    <w:rsid w:val="5A784E1A"/>
    <w:rsid w:val="5A7C1DA4"/>
    <w:rsid w:val="5A7F6F98"/>
    <w:rsid w:val="5A8F76C1"/>
    <w:rsid w:val="5A910CA3"/>
    <w:rsid w:val="5A921A04"/>
    <w:rsid w:val="5A927DF9"/>
    <w:rsid w:val="5A99558C"/>
    <w:rsid w:val="5A9A0A66"/>
    <w:rsid w:val="5AA541CF"/>
    <w:rsid w:val="5AAF48E4"/>
    <w:rsid w:val="5AB37B5F"/>
    <w:rsid w:val="5AB9604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D86DAA"/>
    <w:rsid w:val="5AF341EB"/>
    <w:rsid w:val="5AF405C5"/>
    <w:rsid w:val="5AF82FCA"/>
    <w:rsid w:val="5AF8657A"/>
    <w:rsid w:val="5AFA42E0"/>
    <w:rsid w:val="5AFE5C3F"/>
    <w:rsid w:val="5AFF4835"/>
    <w:rsid w:val="5B000850"/>
    <w:rsid w:val="5B0C6EB5"/>
    <w:rsid w:val="5B152C30"/>
    <w:rsid w:val="5B187495"/>
    <w:rsid w:val="5B1945A0"/>
    <w:rsid w:val="5B1A2A0F"/>
    <w:rsid w:val="5B1B10FA"/>
    <w:rsid w:val="5B1B5003"/>
    <w:rsid w:val="5B1F6C69"/>
    <w:rsid w:val="5B225A79"/>
    <w:rsid w:val="5B2445B5"/>
    <w:rsid w:val="5B2559CC"/>
    <w:rsid w:val="5B2A41C4"/>
    <w:rsid w:val="5B2B5E52"/>
    <w:rsid w:val="5B3E0A56"/>
    <w:rsid w:val="5B431363"/>
    <w:rsid w:val="5B470773"/>
    <w:rsid w:val="5B492D29"/>
    <w:rsid w:val="5B494C21"/>
    <w:rsid w:val="5B4C3725"/>
    <w:rsid w:val="5B532679"/>
    <w:rsid w:val="5B570BDE"/>
    <w:rsid w:val="5B59179A"/>
    <w:rsid w:val="5B5B64C5"/>
    <w:rsid w:val="5B5F2FE4"/>
    <w:rsid w:val="5B6207A7"/>
    <w:rsid w:val="5B627DC7"/>
    <w:rsid w:val="5B63287C"/>
    <w:rsid w:val="5B6C5737"/>
    <w:rsid w:val="5B7178CA"/>
    <w:rsid w:val="5B763263"/>
    <w:rsid w:val="5B7E6170"/>
    <w:rsid w:val="5B853B9F"/>
    <w:rsid w:val="5B896F76"/>
    <w:rsid w:val="5B8F287C"/>
    <w:rsid w:val="5B901200"/>
    <w:rsid w:val="5B9319B5"/>
    <w:rsid w:val="5B96407F"/>
    <w:rsid w:val="5B975E5B"/>
    <w:rsid w:val="5B9C0984"/>
    <w:rsid w:val="5B9D5FB0"/>
    <w:rsid w:val="5BA65080"/>
    <w:rsid w:val="5BA76A78"/>
    <w:rsid w:val="5BB214B7"/>
    <w:rsid w:val="5BB424C4"/>
    <w:rsid w:val="5BB576AD"/>
    <w:rsid w:val="5BB6242D"/>
    <w:rsid w:val="5BB76EBD"/>
    <w:rsid w:val="5BBE6EBD"/>
    <w:rsid w:val="5BC02787"/>
    <w:rsid w:val="5BC23E64"/>
    <w:rsid w:val="5BC52B9A"/>
    <w:rsid w:val="5BCD45FD"/>
    <w:rsid w:val="5BCD6158"/>
    <w:rsid w:val="5BD41880"/>
    <w:rsid w:val="5BD627D7"/>
    <w:rsid w:val="5BE2289B"/>
    <w:rsid w:val="5BE23D1E"/>
    <w:rsid w:val="5BE24CD9"/>
    <w:rsid w:val="5BE50680"/>
    <w:rsid w:val="5BE52EE1"/>
    <w:rsid w:val="5BEA2231"/>
    <w:rsid w:val="5BF13412"/>
    <w:rsid w:val="5BF23EBC"/>
    <w:rsid w:val="5BF524ED"/>
    <w:rsid w:val="5BF53251"/>
    <w:rsid w:val="5BF65E64"/>
    <w:rsid w:val="5BFD4032"/>
    <w:rsid w:val="5BFF0C86"/>
    <w:rsid w:val="5C062E6E"/>
    <w:rsid w:val="5C087355"/>
    <w:rsid w:val="5C0C52E3"/>
    <w:rsid w:val="5C0C750E"/>
    <w:rsid w:val="5C0C796E"/>
    <w:rsid w:val="5C0D4DDD"/>
    <w:rsid w:val="5C0E435F"/>
    <w:rsid w:val="5C135532"/>
    <w:rsid w:val="5C1832F4"/>
    <w:rsid w:val="5C185468"/>
    <w:rsid w:val="5C1A3044"/>
    <w:rsid w:val="5C1D0C0F"/>
    <w:rsid w:val="5C2218F7"/>
    <w:rsid w:val="5C3A291C"/>
    <w:rsid w:val="5C3B2DCF"/>
    <w:rsid w:val="5C474C2E"/>
    <w:rsid w:val="5C494C6D"/>
    <w:rsid w:val="5C500AF8"/>
    <w:rsid w:val="5C517866"/>
    <w:rsid w:val="5C523483"/>
    <w:rsid w:val="5C5348B4"/>
    <w:rsid w:val="5C5E033F"/>
    <w:rsid w:val="5C6875EE"/>
    <w:rsid w:val="5C6B21CA"/>
    <w:rsid w:val="5C6F12DC"/>
    <w:rsid w:val="5C7A2919"/>
    <w:rsid w:val="5C82695D"/>
    <w:rsid w:val="5C84202F"/>
    <w:rsid w:val="5C882B12"/>
    <w:rsid w:val="5C8F19C2"/>
    <w:rsid w:val="5C9A6016"/>
    <w:rsid w:val="5CA57043"/>
    <w:rsid w:val="5CB157B0"/>
    <w:rsid w:val="5CBF4297"/>
    <w:rsid w:val="5CC43404"/>
    <w:rsid w:val="5CC93DAE"/>
    <w:rsid w:val="5CCF7073"/>
    <w:rsid w:val="5CD31EE3"/>
    <w:rsid w:val="5CE03F3E"/>
    <w:rsid w:val="5CE1654F"/>
    <w:rsid w:val="5CE47CF9"/>
    <w:rsid w:val="5CE76F8F"/>
    <w:rsid w:val="5CEB1D70"/>
    <w:rsid w:val="5CF45558"/>
    <w:rsid w:val="5CF70E19"/>
    <w:rsid w:val="5D00730C"/>
    <w:rsid w:val="5D072BC8"/>
    <w:rsid w:val="5D076525"/>
    <w:rsid w:val="5D0A3A75"/>
    <w:rsid w:val="5D0C1CFA"/>
    <w:rsid w:val="5D19384D"/>
    <w:rsid w:val="5D22473A"/>
    <w:rsid w:val="5D237B4C"/>
    <w:rsid w:val="5D2B5629"/>
    <w:rsid w:val="5D301CD3"/>
    <w:rsid w:val="5D315CEB"/>
    <w:rsid w:val="5D326462"/>
    <w:rsid w:val="5D3926A3"/>
    <w:rsid w:val="5D3B59DF"/>
    <w:rsid w:val="5D3C59F3"/>
    <w:rsid w:val="5D473075"/>
    <w:rsid w:val="5D475E41"/>
    <w:rsid w:val="5D4822EE"/>
    <w:rsid w:val="5D4C5595"/>
    <w:rsid w:val="5D5035DA"/>
    <w:rsid w:val="5D5864DB"/>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A23F4"/>
    <w:rsid w:val="5D9F6617"/>
    <w:rsid w:val="5D9F7C74"/>
    <w:rsid w:val="5DAE2E8C"/>
    <w:rsid w:val="5DAE7F34"/>
    <w:rsid w:val="5DB42E5D"/>
    <w:rsid w:val="5DB65502"/>
    <w:rsid w:val="5DB906BB"/>
    <w:rsid w:val="5DC41A63"/>
    <w:rsid w:val="5DC7688B"/>
    <w:rsid w:val="5DD70750"/>
    <w:rsid w:val="5DE44DF4"/>
    <w:rsid w:val="5DED4540"/>
    <w:rsid w:val="5E00720B"/>
    <w:rsid w:val="5E012896"/>
    <w:rsid w:val="5E0825B2"/>
    <w:rsid w:val="5E0A6049"/>
    <w:rsid w:val="5E156B70"/>
    <w:rsid w:val="5E1574AD"/>
    <w:rsid w:val="5E1822E9"/>
    <w:rsid w:val="5E21165A"/>
    <w:rsid w:val="5E214E1E"/>
    <w:rsid w:val="5E226508"/>
    <w:rsid w:val="5E2368B5"/>
    <w:rsid w:val="5E261D69"/>
    <w:rsid w:val="5E344390"/>
    <w:rsid w:val="5E352EB6"/>
    <w:rsid w:val="5E384714"/>
    <w:rsid w:val="5E400BF0"/>
    <w:rsid w:val="5E4250B0"/>
    <w:rsid w:val="5E4A3E88"/>
    <w:rsid w:val="5E4E539E"/>
    <w:rsid w:val="5E5B1CC2"/>
    <w:rsid w:val="5E5B2B5A"/>
    <w:rsid w:val="5E5F0687"/>
    <w:rsid w:val="5E6454D9"/>
    <w:rsid w:val="5E680BE8"/>
    <w:rsid w:val="5E6B7FF0"/>
    <w:rsid w:val="5E783202"/>
    <w:rsid w:val="5E7842EE"/>
    <w:rsid w:val="5E7A1A68"/>
    <w:rsid w:val="5E7E5E5A"/>
    <w:rsid w:val="5E803D55"/>
    <w:rsid w:val="5E854DAE"/>
    <w:rsid w:val="5E88203D"/>
    <w:rsid w:val="5E92177F"/>
    <w:rsid w:val="5EA36A9B"/>
    <w:rsid w:val="5EA42C37"/>
    <w:rsid w:val="5EA648E2"/>
    <w:rsid w:val="5EA71C01"/>
    <w:rsid w:val="5EB24CFE"/>
    <w:rsid w:val="5EB32415"/>
    <w:rsid w:val="5EB52E6F"/>
    <w:rsid w:val="5EB62D5A"/>
    <w:rsid w:val="5EC37A1E"/>
    <w:rsid w:val="5EC94A60"/>
    <w:rsid w:val="5ED95EEE"/>
    <w:rsid w:val="5EE55DDE"/>
    <w:rsid w:val="5EF04AC4"/>
    <w:rsid w:val="5EF20E99"/>
    <w:rsid w:val="5EF47473"/>
    <w:rsid w:val="5EFE064F"/>
    <w:rsid w:val="5F034EC6"/>
    <w:rsid w:val="5F061DE5"/>
    <w:rsid w:val="5F09081F"/>
    <w:rsid w:val="5F0B5BA1"/>
    <w:rsid w:val="5F1111AD"/>
    <w:rsid w:val="5F121A0D"/>
    <w:rsid w:val="5F1B27DE"/>
    <w:rsid w:val="5F243C26"/>
    <w:rsid w:val="5F2B4891"/>
    <w:rsid w:val="5F2C64A1"/>
    <w:rsid w:val="5F39582E"/>
    <w:rsid w:val="5F3C6B9F"/>
    <w:rsid w:val="5F4041F2"/>
    <w:rsid w:val="5F405CF4"/>
    <w:rsid w:val="5F432E6D"/>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D66DE"/>
    <w:rsid w:val="5F810033"/>
    <w:rsid w:val="5F844DC9"/>
    <w:rsid w:val="5F8806B8"/>
    <w:rsid w:val="5F8B53D4"/>
    <w:rsid w:val="5F8C52DB"/>
    <w:rsid w:val="5F8D7479"/>
    <w:rsid w:val="5F8E4E13"/>
    <w:rsid w:val="5F8E7B88"/>
    <w:rsid w:val="5F9005B9"/>
    <w:rsid w:val="5F9175F2"/>
    <w:rsid w:val="5F966692"/>
    <w:rsid w:val="5F99467F"/>
    <w:rsid w:val="5FA00A10"/>
    <w:rsid w:val="5FA4374A"/>
    <w:rsid w:val="5FA4380A"/>
    <w:rsid w:val="5FA4668F"/>
    <w:rsid w:val="5FA5501A"/>
    <w:rsid w:val="5FAB674F"/>
    <w:rsid w:val="5FB25387"/>
    <w:rsid w:val="5FB42703"/>
    <w:rsid w:val="5FBF3440"/>
    <w:rsid w:val="5FC53509"/>
    <w:rsid w:val="5FC573AD"/>
    <w:rsid w:val="5FCC5D9F"/>
    <w:rsid w:val="5FD20829"/>
    <w:rsid w:val="5FD526EA"/>
    <w:rsid w:val="5FDA515F"/>
    <w:rsid w:val="5FE73834"/>
    <w:rsid w:val="5FEB0680"/>
    <w:rsid w:val="5FF744A9"/>
    <w:rsid w:val="5FF76947"/>
    <w:rsid w:val="5FFB17C7"/>
    <w:rsid w:val="5FFE6C22"/>
    <w:rsid w:val="60000309"/>
    <w:rsid w:val="6007630E"/>
    <w:rsid w:val="600B6B90"/>
    <w:rsid w:val="600C3224"/>
    <w:rsid w:val="600F6605"/>
    <w:rsid w:val="60143AD3"/>
    <w:rsid w:val="60281FCD"/>
    <w:rsid w:val="602876AC"/>
    <w:rsid w:val="602D6A03"/>
    <w:rsid w:val="603215F4"/>
    <w:rsid w:val="603771DA"/>
    <w:rsid w:val="603A1B77"/>
    <w:rsid w:val="60447E31"/>
    <w:rsid w:val="60453DC3"/>
    <w:rsid w:val="604C5236"/>
    <w:rsid w:val="605006BC"/>
    <w:rsid w:val="60584E5C"/>
    <w:rsid w:val="606162D0"/>
    <w:rsid w:val="60674769"/>
    <w:rsid w:val="606E247F"/>
    <w:rsid w:val="606F545C"/>
    <w:rsid w:val="607079E9"/>
    <w:rsid w:val="60734371"/>
    <w:rsid w:val="607761FD"/>
    <w:rsid w:val="60830460"/>
    <w:rsid w:val="6085543E"/>
    <w:rsid w:val="608B5C80"/>
    <w:rsid w:val="60907882"/>
    <w:rsid w:val="609258F0"/>
    <w:rsid w:val="6093287A"/>
    <w:rsid w:val="609517E9"/>
    <w:rsid w:val="60964A19"/>
    <w:rsid w:val="609A2B73"/>
    <w:rsid w:val="609F1E8C"/>
    <w:rsid w:val="60A0440C"/>
    <w:rsid w:val="60B71C66"/>
    <w:rsid w:val="60B77B1A"/>
    <w:rsid w:val="60BA0952"/>
    <w:rsid w:val="60BD0F4B"/>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F06D7A"/>
    <w:rsid w:val="60F24908"/>
    <w:rsid w:val="60F46839"/>
    <w:rsid w:val="60FB7A98"/>
    <w:rsid w:val="61027740"/>
    <w:rsid w:val="61034098"/>
    <w:rsid w:val="61067A64"/>
    <w:rsid w:val="610C7D1D"/>
    <w:rsid w:val="610F0CDA"/>
    <w:rsid w:val="61105E47"/>
    <w:rsid w:val="6112529A"/>
    <w:rsid w:val="611A085E"/>
    <w:rsid w:val="611A7B15"/>
    <w:rsid w:val="611C59F7"/>
    <w:rsid w:val="611F0B09"/>
    <w:rsid w:val="61200AAF"/>
    <w:rsid w:val="612D2321"/>
    <w:rsid w:val="612F769F"/>
    <w:rsid w:val="613964B7"/>
    <w:rsid w:val="61455CF4"/>
    <w:rsid w:val="61466898"/>
    <w:rsid w:val="61512409"/>
    <w:rsid w:val="615B2659"/>
    <w:rsid w:val="615E36E9"/>
    <w:rsid w:val="615E3F04"/>
    <w:rsid w:val="61640358"/>
    <w:rsid w:val="61676068"/>
    <w:rsid w:val="616B25D0"/>
    <w:rsid w:val="616C1663"/>
    <w:rsid w:val="616E223F"/>
    <w:rsid w:val="617305C5"/>
    <w:rsid w:val="61751F59"/>
    <w:rsid w:val="617915C1"/>
    <w:rsid w:val="617C28AF"/>
    <w:rsid w:val="61843F91"/>
    <w:rsid w:val="618520A4"/>
    <w:rsid w:val="618A6058"/>
    <w:rsid w:val="61963257"/>
    <w:rsid w:val="6196670E"/>
    <w:rsid w:val="61972737"/>
    <w:rsid w:val="619C38B4"/>
    <w:rsid w:val="61A4486B"/>
    <w:rsid w:val="61B33DDF"/>
    <w:rsid w:val="61BB4A1B"/>
    <w:rsid w:val="61BB5A23"/>
    <w:rsid w:val="61BC23E5"/>
    <w:rsid w:val="61BF14C1"/>
    <w:rsid w:val="61C051B3"/>
    <w:rsid w:val="61CD3107"/>
    <w:rsid w:val="61D17319"/>
    <w:rsid w:val="61D21120"/>
    <w:rsid w:val="61D64F2E"/>
    <w:rsid w:val="61D75E5D"/>
    <w:rsid w:val="61E728F9"/>
    <w:rsid w:val="61F3667F"/>
    <w:rsid w:val="61F43F82"/>
    <w:rsid w:val="61F67369"/>
    <w:rsid w:val="61FB110C"/>
    <w:rsid w:val="61FB56BF"/>
    <w:rsid w:val="61FD1294"/>
    <w:rsid w:val="620B2B74"/>
    <w:rsid w:val="6210415F"/>
    <w:rsid w:val="62185165"/>
    <w:rsid w:val="621D66D4"/>
    <w:rsid w:val="62220209"/>
    <w:rsid w:val="622D780A"/>
    <w:rsid w:val="622E2CF4"/>
    <w:rsid w:val="622F5ABF"/>
    <w:rsid w:val="623D0C68"/>
    <w:rsid w:val="62460FCD"/>
    <w:rsid w:val="62480FF0"/>
    <w:rsid w:val="624B14C1"/>
    <w:rsid w:val="624C02FE"/>
    <w:rsid w:val="624F0394"/>
    <w:rsid w:val="62590ABF"/>
    <w:rsid w:val="625A29D8"/>
    <w:rsid w:val="625B2CDA"/>
    <w:rsid w:val="625B47C2"/>
    <w:rsid w:val="625B79FF"/>
    <w:rsid w:val="625F6E6C"/>
    <w:rsid w:val="62624625"/>
    <w:rsid w:val="62630C6B"/>
    <w:rsid w:val="627301E8"/>
    <w:rsid w:val="627369C7"/>
    <w:rsid w:val="62877144"/>
    <w:rsid w:val="629116BD"/>
    <w:rsid w:val="62920187"/>
    <w:rsid w:val="6295194F"/>
    <w:rsid w:val="6299295E"/>
    <w:rsid w:val="629A07BC"/>
    <w:rsid w:val="629A1BF0"/>
    <w:rsid w:val="629D61D1"/>
    <w:rsid w:val="62A33CA7"/>
    <w:rsid w:val="62A36C5E"/>
    <w:rsid w:val="62B754A9"/>
    <w:rsid w:val="62B94634"/>
    <w:rsid w:val="62BA3B2B"/>
    <w:rsid w:val="62C37511"/>
    <w:rsid w:val="62C5286D"/>
    <w:rsid w:val="62C666F6"/>
    <w:rsid w:val="62CB49A1"/>
    <w:rsid w:val="62D11C3F"/>
    <w:rsid w:val="62D35D1C"/>
    <w:rsid w:val="62D67D61"/>
    <w:rsid w:val="62D777AF"/>
    <w:rsid w:val="62E157FC"/>
    <w:rsid w:val="62E81148"/>
    <w:rsid w:val="62E83A0D"/>
    <w:rsid w:val="62F76986"/>
    <w:rsid w:val="62FA3D7F"/>
    <w:rsid w:val="62FF21FD"/>
    <w:rsid w:val="63074CE8"/>
    <w:rsid w:val="631138B2"/>
    <w:rsid w:val="631360BB"/>
    <w:rsid w:val="63195F7A"/>
    <w:rsid w:val="631C3A36"/>
    <w:rsid w:val="63212420"/>
    <w:rsid w:val="63214DAF"/>
    <w:rsid w:val="632528E5"/>
    <w:rsid w:val="632548A2"/>
    <w:rsid w:val="632936A9"/>
    <w:rsid w:val="632D6DAA"/>
    <w:rsid w:val="632E0749"/>
    <w:rsid w:val="632F06D8"/>
    <w:rsid w:val="63311536"/>
    <w:rsid w:val="63317698"/>
    <w:rsid w:val="63340EAE"/>
    <w:rsid w:val="63403F5C"/>
    <w:rsid w:val="634331FC"/>
    <w:rsid w:val="63443DC2"/>
    <w:rsid w:val="634B6A95"/>
    <w:rsid w:val="634F6CB9"/>
    <w:rsid w:val="63555A9A"/>
    <w:rsid w:val="63584B3D"/>
    <w:rsid w:val="635E6984"/>
    <w:rsid w:val="635F50A8"/>
    <w:rsid w:val="63615D3E"/>
    <w:rsid w:val="6367139B"/>
    <w:rsid w:val="63683422"/>
    <w:rsid w:val="636C62BA"/>
    <w:rsid w:val="63710BA6"/>
    <w:rsid w:val="637346BC"/>
    <w:rsid w:val="637B5F3C"/>
    <w:rsid w:val="637D75E6"/>
    <w:rsid w:val="63821D61"/>
    <w:rsid w:val="63827E36"/>
    <w:rsid w:val="63842477"/>
    <w:rsid w:val="638823F9"/>
    <w:rsid w:val="63891BA5"/>
    <w:rsid w:val="638B04D2"/>
    <w:rsid w:val="63912AB2"/>
    <w:rsid w:val="639A118D"/>
    <w:rsid w:val="639B7C08"/>
    <w:rsid w:val="639C1720"/>
    <w:rsid w:val="63A13147"/>
    <w:rsid w:val="63A177A7"/>
    <w:rsid w:val="63A76A3F"/>
    <w:rsid w:val="63A85CD1"/>
    <w:rsid w:val="63AB2A39"/>
    <w:rsid w:val="63B02C42"/>
    <w:rsid w:val="63BE6D07"/>
    <w:rsid w:val="63C51AD9"/>
    <w:rsid w:val="63C54411"/>
    <w:rsid w:val="63C733FE"/>
    <w:rsid w:val="63C9048D"/>
    <w:rsid w:val="63CD27C8"/>
    <w:rsid w:val="63CD4C2D"/>
    <w:rsid w:val="63CF2629"/>
    <w:rsid w:val="63D40E51"/>
    <w:rsid w:val="63D52E6F"/>
    <w:rsid w:val="63D85FCA"/>
    <w:rsid w:val="63E263F4"/>
    <w:rsid w:val="63E418C9"/>
    <w:rsid w:val="63F55755"/>
    <w:rsid w:val="63FB6EC6"/>
    <w:rsid w:val="63FD7654"/>
    <w:rsid w:val="640A7217"/>
    <w:rsid w:val="640C2BB6"/>
    <w:rsid w:val="6411454E"/>
    <w:rsid w:val="64225C1C"/>
    <w:rsid w:val="642437E9"/>
    <w:rsid w:val="64340283"/>
    <w:rsid w:val="64340FCD"/>
    <w:rsid w:val="64377182"/>
    <w:rsid w:val="643B7181"/>
    <w:rsid w:val="643E4883"/>
    <w:rsid w:val="643F3FFC"/>
    <w:rsid w:val="64467E26"/>
    <w:rsid w:val="64491828"/>
    <w:rsid w:val="644A69BC"/>
    <w:rsid w:val="644C372C"/>
    <w:rsid w:val="64521327"/>
    <w:rsid w:val="645256C0"/>
    <w:rsid w:val="645B5DC0"/>
    <w:rsid w:val="645D3A6B"/>
    <w:rsid w:val="64613F6F"/>
    <w:rsid w:val="646310B8"/>
    <w:rsid w:val="646A06E2"/>
    <w:rsid w:val="646C4EF1"/>
    <w:rsid w:val="646C4FB8"/>
    <w:rsid w:val="646D2F37"/>
    <w:rsid w:val="64706C6F"/>
    <w:rsid w:val="6471159B"/>
    <w:rsid w:val="64814078"/>
    <w:rsid w:val="6483791E"/>
    <w:rsid w:val="648B777B"/>
    <w:rsid w:val="64937D17"/>
    <w:rsid w:val="6494650D"/>
    <w:rsid w:val="64984C13"/>
    <w:rsid w:val="649A6134"/>
    <w:rsid w:val="649D2569"/>
    <w:rsid w:val="64A157DA"/>
    <w:rsid w:val="64A32650"/>
    <w:rsid w:val="64A51362"/>
    <w:rsid w:val="64A55A03"/>
    <w:rsid w:val="64A62D1B"/>
    <w:rsid w:val="64A860F2"/>
    <w:rsid w:val="64AD4200"/>
    <w:rsid w:val="64AF09FF"/>
    <w:rsid w:val="64B453B1"/>
    <w:rsid w:val="64BE5702"/>
    <w:rsid w:val="64C16289"/>
    <w:rsid w:val="64CF05E4"/>
    <w:rsid w:val="64CF1E41"/>
    <w:rsid w:val="64D32645"/>
    <w:rsid w:val="64D81CB8"/>
    <w:rsid w:val="64D93F02"/>
    <w:rsid w:val="64DF1E48"/>
    <w:rsid w:val="64E52880"/>
    <w:rsid w:val="64E5543E"/>
    <w:rsid w:val="64E657EB"/>
    <w:rsid w:val="64E76F6D"/>
    <w:rsid w:val="64EA4517"/>
    <w:rsid w:val="64FC561C"/>
    <w:rsid w:val="64FC687A"/>
    <w:rsid w:val="64FE0E31"/>
    <w:rsid w:val="650F5743"/>
    <w:rsid w:val="65181463"/>
    <w:rsid w:val="651A5C6A"/>
    <w:rsid w:val="651C38DB"/>
    <w:rsid w:val="65201F4F"/>
    <w:rsid w:val="65204394"/>
    <w:rsid w:val="652133D2"/>
    <w:rsid w:val="6522790C"/>
    <w:rsid w:val="652A11D7"/>
    <w:rsid w:val="652C76EF"/>
    <w:rsid w:val="652D6A57"/>
    <w:rsid w:val="653B41A7"/>
    <w:rsid w:val="653E78B1"/>
    <w:rsid w:val="65403733"/>
    <w:rsid w:val="654066D8"/>
    <w:rsid w:val="65427957"/>
    <w:rsid w:val="65430291"/>
    <w:rsid w:val="654468BF"/>
    <w:rsid w:val="65485D1B"/>
    <w:rsid w:val="654D64C6"/>
    <w:rsid w:val="65503BB9"/>
    <w:rsid w:val="655754CB"/>
    <w:rsid w:val="655E2D72"/>
    <w:rsid w:val="656171FC"/>
    <w:rsid w:val="65635CAF"/>
    <w:rsid w:val="65636611"/>
    <w:rsid w:val="656E4951"/>
    <w:rsid w:val="656F1A01"/>
    <w:rsid w:val="65705EF9"/>
    <w:rsid w:val="6570700F"/>
    <w:rsid w:val="6574303E"/>
    <w:rsid w:val="65755F0A"/>
    <w:rsid w:val="657F0CE6"/>
    <w:rsid w:val="65833C4F"/>
    <w:rsid w:val="658B37B6"/>
    <w:rsid w:val="6590595E"/>
    <w:rsid w:val="65955D9F"/>
    <w:rsid w:val="65956477"/>
    <w:rsid w:val="65972789"/>
    <w:rsid w:val="659C17EE"/>
    <w:rsid w:val="65A65E7D"/>
    <w:rsid w:val="65AA2B3B"/>
    <w:rsid w:val="65B408AD"/>
    <w:rsid w:val="65BC6E17"/>
    <w:rsid w:val="65BD3777"/>
    <w:rsid w:val="65BE5ECC"/>
    <w:rsid w:val="65C4177D"/>
    <w:rsid w:val="65D43869"/>
    <w:rsid w:val="65D64BB3"/>
    <w:rsid w:val="65D70270"/>
    <w:rsid w:val="65E91B08"/>
    <w:rsid w:val="65F2016B"/>
    <w:rsid w:val="65F5725F"/>
    <w:rsid w:val="66032E7B"/>
    <w:rsid w:val="66053581"/>
    <w:rsid w:val="66087876"/>
    <w:rsid w:val="6609517F"/>
    <w:rsid w:val="660A19B0"/>
    <w:rsid w:val="660B3A10"/>
    <w:rsid w:val="661026AA"/>
    <w:rsid w:val="661207AA"/>
    <w:rsid w:val="661635F6"/>
    <w:rsid w:val="661D3F49"/>
    <w:rsid w:val="66213A5C"/>
    <w:rsid w:val="6621584D"/>
    <w:rsid w:val="6624683A"/>
    <w:rsid w:val="66252267"/>
    <w:rsid w:val="662D2EA4"/>
    <w:rsid w:val="662F2BB7"/>
    <w:rsid w:val="6631571B"/>
    <w:rsid w:val="663D054E"/>
    <w:rsid w:val="66460692"/>
    <w:rsid w:val="6658158E"/>
    <w:rsid w:val="66631FDD"/>
    <w:rsid w:val="66634E10"/>
    <w:rsid w:val="66727620"/>
    <w:rsid w:val="66763EED"/>
    <w:rsid w:val="66782A0E"/>
    <w:rsid w:val="667930F9"/>
    <w:rsid w:val="6679372B"/>
    <w:rsid w:val="667B3C56"/>
    <w:rsid w:val="66822EA8"/>
    <w:rsid w:val="668B6CBD"/>
    <w:rsid w:val="66953491"/>
    <w:rsid w:val="66980BF6"/>
    <w:rsid w:val="66A27600"/>
    <w:rsid w:val="66A56CDB"/>
    <w:rsid w:val="66AC1D02"/>
    <w:rsid w:val="66AD65FC"/>
    <w:rsid w:val="66AD7F89"/>
    <w:rsid w:val="66AE57BC"/>
    <w:rsid w:val="66B81454"/>
    <w:rsid w:val="66BE1292"/>
    <w:rsid w:val="66BF76F1"/>
    <w:rsid w:val="66C72F6F"/>
    <w:rsid w:val="66CD4873"/>
    <w:rsid w:val="66D553C4"/>
    <w:rsid w:val="66D560FD"/>
    <w:rsid w:val="66D60A0F"/>
    <w:rsid w:val="66D61A8D"/>
    <w:rsid w:val="66DA3497"/>
    <w:rsid w:val="66DB5E77"/>
    <w:rsid w:val="66DC5BF8"/>
    <w:rsid w:val="66DC788A"/>
    <w:rsid w:val="66DD13D0"/>
    <w:rsid w:val="66E173F9"/>
    <w:rsid w:val="66E3226C"/>
    <w:rsid w:val="66E611A7"/>
    <w:rsid w:val="66E80EB0"/>
    <w:rsid w:val="66EC5E36"/>
    <w:rsid w:val="66F569E1"/>
    <w:rsid w:val="66F76034"/>
    <w:rsid w:val="66FD7799"/>
    <w:rsid w:val="67066C06"/>
    <w:rsid w:val="670673B0"/>
    <w:rsid w:val="670E7B80"/>
    <w:rsid w:val="671043C8"/>
    <w:rsid w:val="6713591F"/>
    <w:rsid w:val="67157F47"/>
    <w:rsid w:val="67181932"/>
    <w:rsid w:val="67223341"/>
    <w:rsid w:val="6726232E"/>
    <w:rsid w:val="672A4901"/>
    <w:rsid w:val="672E50FE"/>
    <w:rsid w:val="67331724"/>
    <w:rsid w:val="6733491A"/>
    <w:rsid w:val="673360E2"/>
    <w:rsid w:val="67346319"/>
    <w:rsid w:val="67441B08"/>
    <w:rsid w:val="674E2802"/>
    <w:rsid w:val="674F6E76"/>
    <w:rsid w:val="67513E69"/>
    <w:rsid w:val="675A0CA3"/>
    <w:rsid w:val="675A17FE"/>
    <w:rsid w:val="67617AF0"/>
    <w:rsid w:val="67627B2A"/>
    <w:rsid w:val="6768655A"/>
    <w:rsid w:val="676E1585"/>
    <w:rsid w:val="67725B5A"/>
    <w:rsid w:val="67775952"/>
    <w:rsid w:val="677E2FA1"/>
    <w:rsid w:val="67825A15"/>
    <w:rsid w:val="67834615"/>
    <w:rsid w:val="67836FB1"/>
    <w:rsid w:val="678A12A7"/>
    <w:rsid w:val="678A44B2"/>
    <w:rsid w:val="678C1D52"/>
    <w:rsid w:val="678D19D7"/>
    <w:rsid w:val="67920C02"/>
    <w:rsid w:val="6792321C"/>
    <w:rsid w:val="67934263"/>
    <w:rsid w:val="67941515"/>
    <w:rsid w:val="67973403"/>
    <w:rsid w:val="679C4F18"/>
    <w:rsid w:val="67A45590"/>
    <w:rsid w:val="67A67078"/>
    <w:rsid w:val="67A7132F"/>
    <w:rsid w:val="67AC341B"/>
    <w:rsid w:val="67B10069"/>
    <w:rsid w:val="67B42C3D"/>
    <w:rsid w:val="67B6037E"/>
    <w:rsid w:val="67B861F9"/>
    <w:rsid w:val="67C149C0"/>
    <w:rsid w:val="67C7427D"/>
    <w:rsid w:val="67CA7967"/>
    <w:rsid w:val="67CC38C5"/>
    <w:rsid w:val="67D9695E"/>
    <w:rsid w:val="67DB5BED"/>
    <w:rsid w:val="67DC5CEA"/>
    <w:rsid w:val="67DF18A0"/>
    <w:rsid w:val="67E024C8"/>
    <w:rsid w:val="67E35B0A"/>
    <w:rsid w:val="67EA524A"/>
    <w:rsid w:val="67ED6F3F"/>
    <w:rsid w:val="67F0511C"/>
    <w:rsid w:val="67F5522D"/>
    <w:rsid w:val="67F73BC6"/>
    <w:rsid w:val="680965F8"/>
    <w:rsid w:val="680D4C45"/>
    <w:rsid w:val="680E4ECF"/>
    <w:rsid w:val="680E6937"/>
    <w:rsid w:val="6811066C"/>
    <w:rsid w:val="68127886"/>
    <w:rsid w:val="68135F70"/>
    <w:rsid w:val="681778E7"/>
    <w:rsid w:val="681B5BF4"/>
    <w:rsid w:val="68240EAA"/>
    <w:rsid w:val="68246BE9"/>
    <w:rsid w:val="6825323C"/>
    <w:rsid w:val="682D20B0"/>
    <w:rsid w:val="68356624"/>
    <w:rsid w:val="68364404"/>
    <w:rsid w:val="683D75A2"/>
    <w:rsid w:val="683E1DD2"/>
    <w:rsid w:val="683F63B6"/>
    <w:rsid w:val="68436C4F"/>
    <w:rsid w:val="68451270"/>
    <w:rsid w:val="68460647"/>
    <w:rsid w:val="68495F2A"/>
    <w:rsid w:val="684F1282"/>
    <w:rsid w:val="6850356A"/>
    <w:rsid w:val="68511835"/>
    <w:rsid w:val="685465AC"/>
    <w:rsid w:val="68650339"/>
    <w:rsid w:val="68651915"/>
    <w:rsid w:val="68670AE1"/>
    <w:rsid w:val="68733F18"/>
    <w:rsid w:val="687442EE"/>
    <w:rsid w:val="68772A56"/>
    <w:rsid w:val="687C7996"/>
    <w:rsid w:val="687E1768"/>
    <w:rsid w:val="689B3E14"/>
    <w:rsid w:val="689B7663"/>
    <w:rsid w:val="689C5C1D"/>
    <w:rsid w:val="689D6F4C"/>
    <w:rsid w:val="689F2FA0"/>
    <w:rsid w:val="689F3EC0"/>
    <w:rsid w:val="68A02CE9"/>
    <w:rsid w:val="68A036C8"/>
    <w:rsid w:val="68A41350"/>
    <w:rsid w:val="68AD26AA"/>
    <w:rsid w:val="68AE2B22"/>
    <w:rsid w:val="68B54464"/>
    <w:rsid w:val="68BA59E1"/>
    <w:rsid w:val="68BC14B0"/>
    <w:rsid w:val="68BC512A"/>
    <w:rsid w:val="68BF0078"/>
    <w:rsid w:val="68C04067"/>
    <w:rsid w:val="68C20D16"/>
    <w:rsid w:val="68CA4525"/>
    <w:rsid w:val="68D222EB"/>
    <w:rsid w:val="68D94717"/>
    <w:rsid w:val="68DD619B"/>
    <w:rsid w:val="68EC3A15"/>
    <w:rsid w:val="68ED69A7"/>
    <w:rsid w:val="68FD5593"/>
    <w:rsid w:val="69032565"/>
    <w:rsid w:val="690616DE"/>
    <w:rsid w:val="69073414"/>
    <w:rsid w:val="690C4501"/>
    <w:rsid w:val="690F6069"/>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4C7D2C"/>
    <w:rsid w:val="695031E1"/>
    <w:rsid w:val="695048C2"/>
    <w:rsid w:val="6951205B"/>
    <w:rsid w:val="6953741D"/>
    <w:rsid w:val="69552B47"/>
    <w:rsid w:val="6956014F"/>
    <w:rsid w:val="696077C1"/>
    <w:rsid w:val="696F3842"/>
    <w:rsid w:val="69713E8B"/>
    <w:rsid w:val="69731101"/>
    <w:rsid w:val="6974083C"/>
    <w:rsid w:val="697B43D3"/>
    <w:rsid w:val="697D087B"/>
    <w:rsid w:val="69807B1E"/>
    <w:rsid w:val="698D012C"/>
    <w:rsid w:val="69992E3D"/>
    <w:rsid w:val="699F40EA"/>
    <w:rsid w:val="69A71B52"/>
    <w:rsid w:val="69A7770D"/>
    <w:rsid w:val="69A966F8"/>
    <w:rsid w:val="69AC0B64"/>
    <w:rsid w:val="69B27491"/>
    <w:rsid w:val="69B27C94"/>
    <w:rsid w:val="69BA2288"/>
    <w:rsid w:val="69BB7CE2"/>
    <w:rsid w:val="69BF343C"/>
    <w:rsid w:val="69C25B29"/>
    <w:rsid w:val="69D2134C"/>
    <w:rsid w:val="69D5264A"/>
    <w:rsid w:val="69D537ED"/>
    <w:rsid w:val="69DC3AC1"/>
    <w:rsid w:val="69E6402E"/>
    <w:rsid w:val="69E673F8"/>
    <w:rsid w:val="69EA6C64"/>
    <w:rsid w:val="69EB2120"/>
    <w:rsid w:val="69EF1603"/>
    <w:rsid w:val="69EF180F"/>
    <w:rsid w:val="69F00B35"/>
    <w:rsid w:val="69F03B82"/>
    <w:rsid w:val="69F10C55"/>
    <w:rsid w:val="69F224F8"/>
    <w:rsid w:val="69F3045E"/>
    <w:rsid w:val="69F3790F"/>
    <w:rsid w:val="6A036F5F"/>
    <w:rsid w:val="6A064BF7"/>
    <w:rsid w:val="6A121AB8"/>
    <w:rsid w:val="6A12415B"/>
    <w:rsid w:val="6A152CC8"/>
    <w:rsid w:val="6A172663"/>
    <w:rsid w:val="6A1D05D4"/>
    <w:rsid w:val="6A245089"/>
    <w:rsid w:val="6A246A2F"/>
    <w:rsid w:val="6A25601C"/>
    <w:rsid w:val="6A2750C5"/>
    <w:rsid w:val="6A281BA5"/>
    <w:rsid w:val="6A290AA5"/>
    <w:rsid w:val="6A2A46CE"/>
    <w:rsid w:val="6A2C7141"/>
    <w:rsid w:val="6A2F521E"/>
    <w:rsid w:val="6A3A1167"/>
    <w:rsid w:val="6A3D030C"/>
    <w:rsid w:val="6A3F4FDB"/>
    <w:rsid w:val="6A4F4F6F"/>
    <w:rsid w:val="6A532FF6"/>
    <w:rsid w:val="6A5B0A88"/>
    <w:rsid w:val="6A601C8F"/>
    <w:rsid w:val="6A6A0FDF"/>
    <w:rsid w:val="6A7136BA"/>
    <w:rsid w:val="6A7174A5"/>
    <w:rsid w:val="6A72508F"/>
    <w:rsid w:val="6A732254"/>
    <w:rsid w:val="6A7711BA"/>
    <w:rsid w:val="6A774894"/>
    <w:rsid w:val="6A7C4E7D"/>
    <w:rsid w:val="6A7E274B"/>
    <w:rsid w:val="6A800FE2"/>
    <w:rsid w:val="6A80364F"/>
    <w:rsid w:val="6A89112C"/>
    <w:rsid w:val="6A8C3EFF"/>
    <w:rsid w:val="6A905626"/>
    <w:rsid w:val="6A916EED"/>
    <w:rsid w:val="6A930EAF"/>
    <w:rsid w:val="6A9371B0"/>
    <w:rsid w:val="6A937D23"/>
    <w:rsid w:val="6A960003"/>
    <w:rsid w:val="6A9B5915"/>
    <w:rsid w:val="6A9B7735"/>
    <w:rsid w:val="6AA02774"/>
    <w:rsid w:val="6AA258AD"/>
    <w:rsid w:val="6AA41157"/>
    <w:rsid w:val="6AAB2AD1"/>
    <w:rsid w:val="6AAE5F36"/>
    <w:rsid w:val="6AAF2259"/>
    <w:rsid w:val="6AB45A03"/>
    <w:rsid w:val="6ABE4FFD"/>
    <w:rsid w:val="6AD20C96"/>
    <w:rsid w:val="6AD902D6"/>
    <w:rsid w:val="6AD909E0"/>
    <w:rsid w:val="6ADC49EF"/>
    <w:rsid w:val="6ADD4FD8"/>
    <w:rsid w:val="6ADD71F3"/>
    <w:rsid w:val="6AE26C27"/>
    <w:rsid w:val="6AED013C"/>
    <w:rsid w:val="6AEE59AB"/>
    <w:rsid w:val="6AF159FF"/>
    <w:rsid w:val="6AF421E2"/>
    <w:rsid w:val="6AF57F3A"/>
    <w:rsid w:val="6AF63F29"/>
    <w:rsid w:val="6AFB7DF3"/>
    <w:rsid w:val="6AFE4F30"/>
    <w:rsid w:val="6B0A3D9B"/>
    <w:rsid w:val="6B0E002C"/>
    <w:rsid w:val="6B1E05E1"/>
    <w:rsid w:val="6B21318E"/>
    <w:rsid w:val="6B227A15"/>
    <w:rsid w:val="6B2833E7"/>
    <w:rsid w:val="6B285741"/>
    <w:rsid w:val="6B340EF1"/>
    <w:rsid w:val="6B3D06AC"/>
    <w:rsid w:val="6B444BB7"/>
    <w:rsid w:val="6B447945"/>
    <w:rsid w:val="6B472052"/>
    <w:rsid w:val="6B4B2C3B"/>
    <w:rsid w:val="6B4E4A00"/>
    <w:rsid w:val="6B5278F5"/>
    <w:rsid w:val="6B545E48"/>
    <w:rsid w:val="6B5A64D2"/>
    <w:rsid w:val="6B5B0A52"/>
    <w:rsid w:val="6B5B7CD6"/>
    <w:rsid w:val="6B5D2504"/>
    <w:rsid w:val="6B6849C2"/>
    <w:rsid w:val="6B6C560D"/>
    <w:rsid w:val="6B705E52"/>
    <w:rsid w:val="6B735BFD"/>
    <w:rsid w:val="6B785D05"/>
    <w:rsid w:val="6B7F7BD7"/>
    <w:rsid w:val="6B846AF2"/>
    <w:rsid w:val="6B95396B"/>
    <w:rsid w:val="6BAA2D23"/>
    <w:rsid w:val="6BAC0EF7"/>
    <w:rsid w:val="6BB90470"/>
    <w:rsid w:val="6BBB00B1"/>
    <w:rsid w:val="6BBD3E9D"/>
    <w:rsid w:val="6BC03721"/>
    <w:rsid w:val="6BC43438"/>
    <w:rsid w:val="6BC51A97"/>
    <w:rsid w:val="6BCC01D5"/>
    <w:rsid w:val="6BCF2DCA"/>
    <w:rsid w:val="6BD4750E"/>
    <w:rsid w:val="6BD52E14"/>
    <w:rsid w:val="6BDD0493"/>
    <w:rsid w:val="6BDE54AC"/>
    <w:rsid w:val="6BE068F6"/>
    <w:rsid w:val="6BE072B5"/>
    <w:rsid w:val="6BE25969"/>
    <w:rsid w:val="6BE40FB6"/>
    <w:rsid w:val="6BEA30F0"/>
    <w:rsid w:val="6BEA5C11"/>
    <w:rsid w:val="6BEC52EB"/>
    <w:rsid w:val="6BEE2C86"/>
    <w:rsid w:val="6BEE5C0E"/>
    <w:rsid w:val="6BF229CE"/>
    <w:rsid w:val="6BF25C39"/>
    <w:rsid w:val="6C06150E"/>
    <w:rsid w:val="6C1407B4"/>
    <w:rsid w:val="6C150C0B"/>
    <w:rsid w:val="6C155F31"/>
    <w:rsid w:val="6C206E21"/>
    <w:rsid w:val="6C263A06"/>
    <w:rsid w:val="6C265F77"/>
    <w:rsid w:val="6C3A624E"/>
    <w:rsid w:val="6C3F4795"/>
    <w:rsid w:val="6C431738"/>
    <w:rsid w:val="6C442E2D"/>
    <w:rsid w:val="6C4B106D"/>
    <w:rsid w:val="6C505966"/>
    <w:rsid w:val="6C5D04BB"/>
    <w:rsid w:val="6C624A50"/>
    <w:rsid w:val="6C65329A"/>
    <w:rsid w:val="6C666C3C"/>
    <w:rsid w:val="6C6833E1"/>
    <w:rsid w:val="6C726F5A"/>
    <w:rsid w:val="6C751A38"/>
    <w:rsid w:val="6C7707E9"/>
    <w:rsid w:val="6C882F2E"/>
    <w:rsid w:val="6C8E4315"/>
    <w:rsid w:val="6C92360B"/>
    <w:rsid w:val="6C9360FF"/>
    <w:rsid w:val="6C954AE8"/>
    <w:rsid w:val="6C95615F"/>
    <w:rsid w:val="6C996482"/>
    <w:rsid w:val="6CA94419"/>
    <w:rsid w:val="6CB242A2"/>
    <w:rsid w:val="6CB92EE5"/>
    <w:rsid w:val="6CBB719C"/>
    <w:rsid w:val="6CC818AD"/>
    <w:rsid w:val="6CCF21CC"/>
    <w:rsid w:val="6CD944B7"/>
    <w:rsid w:val="6CE0612A"/>
    <w:rsid w:val="6CE269D3"/>
    <w:rsid w:val="6CEC448A"/>
    <w:rsid w:val="6CED284E"/>
    <w:rsid w:val="6CED3DB2"/>
    <w:rsid w:val="6CF04EB7"/>
    <w:rsid w:val="6CF17872"/>
    <w:rsid w:val="6CF76712"/>
    <w:rsid w:val="6CFD23D1"/>
    <w:rsid w:val="6D033EFD"/>
    <w:rsid w:val="6D0652BF"/>
    <w:rsid w:val="6D0A7734"/>
    <w:rsid w:val="6D0B0E35"/>
    <w:rsid w:val="6D0D210A"/>
    <w:rsid w:val="6D0D6D19"/>
    <w:rsid w:val="6D0D75B0"/>
    <w:rsid w:val="6D273B17"/>
    <w:rsid w:val="6D274676"/>
    <w:rsid w:val="6D2D5212"/>
    <w:rsid w:val="6D2F4B50"/>
    <w:rsid w:val="6D334D48"/>
    <w:rsid w:val="6D374EDB"/>
    <w:rsid w:val="6D385ED1"/>
    <w:rsid w:val="6D3967DF"/>
    <w:rsid w:val="6D3B5F83"/>
    <w:rsid w:val="6D3C14B2"/>
    <w:rsid w:val="6D436625"/>
    <w:rsid w:val="6D4720E6"/>
    <w:rsid w:val="6D4A7F79"/>
    <w:rsid w:val="6D4B7436"/>
    <w:rsid w:val="6D4C7937"/>
    <w:rsid w:val="6D500998"/>
    <w:rsid w:val="6D59673E"/>
    <w:rsid w:val="6D5B2AAB"/>
    <w:rsid w:val="6D5D3D5C"/>
    <w:rsid w:val="6D5E64E8"/>
    <w:rsid w:val="6D621A21"/>
    <w:rsid w:val="6D652ED0"/>
    <w:rsid w:val="6D662717"/>
    <w:rsid w:val="6D663299"/>
    <w:rsid w:val="6D770FC8"/>
    <w:rsid w:val="6D780CD8"/>
    <w:rsid w:val="6D790A31"/>
    <w:rsid w:val="6D7D5646"/>
    <w:rsid w:val="6D7D69B3"/>
    <w:rsid w:val="6D807862"/>
    <w:rsid w:val="6D811E5F"/>
    <w:rsid w:val="6D816186"/>
    <w:rsid w:val="6D8F5451"/>
    <w:rsid w:val="6D90338E"/>
    <w:rsid w:val="6D925740"/>
    <w:rsid w:val="6D9D3EE4"/>
    <w:rsid w:val="6D9E7C69"/>
    <w:rsid w:val="6DA71839"/>
    <w:rsid w:val="6DA84071"/>
    <w:rsid w:val="6DB20233"/>
    <w:rsid w:val="6DB81D13"/>
    <w:rsid w:val="6DC54D30"/>
    <w:rsid w:val="6DC65806"/>
    <w:rsid w:val="6DCA2F8B"/>
    <w:rsid w:val="6DD755BF"/>
    <w:rsid w:val="6DDF0294"/>
    <w:rsid w:val="6DE9618F"/>
    <w:rsid w:val="6DED02CD"/>
    <w:rsid w:val="6DF07F1A"/>
    <w:rsid w:val="6DF6740D"/>
    <w:rsid w:val="6DF92BCB"/>
    <w:rsid w:val="6DFB06CC"/>
    <w:rsid w:val="6E035B81"/>
    <w:rsid w:val="6E0F0D37"/>
    <w:rsid w:val="6E0F320E"/>
    <w:rsid w:val="6E1058C0"/>
    <w:rsid w:val="6E112785"/>
    <w:rsid w:val="6E114B44"/>
    <w:rsid w:val="6E131686"/>
    <w:rsid w:val="6E163C98"/>
    <w:rsid w:val="6E1B4CD0"/>
    <w:rsid w:val="6E1C2489"/>
    <w:rsid w:val="6E1D776A"/>
    <w:rsid w:val="6E225993"/>
    <w:rsid w:val="6E2A0DD8"/>
    <w:rsid w:val="6E3552B0"/>
    <w:rsid w:val="6E35742E"/>
    <w:rsid w:val="6E376A3A"/>
    <w:rsid w:val="6E3E181B"/>
    <w:rsid w:val="6E3F1C0F"/>
    <w:rsid w:val="6E484191"/>
    <w:rsid w:val="6E4E018F"/>
    <w:rsid w:val="6E4E0EC4"/>
    <w:rsid w:val="6E561494"/>
    <w:rsid w:val="6E567CD0"/>
    <w:rsid w:val="6E5C099F"/>
    <w:rsid w:val="6E606342"/>
    <w:rsid w:val="6E606731"/>
    <w:rsid w:val="6E633CB5"/>
    <w:rsid w:val="6E651C83"/>
    <w:rsid w:val="6E7106EF"/>
    <w:rsid w:val="6E72570E"/>
    <w:rsid w:val="6E734770"/>
    <w:rsid w:val="6E785A45"/>
    <w:rsid w:val="6E796FC0"/>
    <w:rsid w:val="6E7D2BC3"/>
    <w:rsid w:val="6E7F4527"/>
    <w:rsid w:val="6E83317D"/>
    <w:rsid w:val="6E8B20DB"/>
    <w:rsid w:val="6E8C5638"/>
    <w:rsid w:val="6E917497"/>
    <w:rsid w:val="6EA13305"/>
    <w:rsid w:val="6EAB29FB"/>
    <w:rsid w:val="6EB32B7F"/>
    <w:rsid w:val="6EB46F18"/>
    <w:rsid w:val="6EB63507"/>
    <w:rsid w:val="6EBD4DFF"/>
    <w:rsid w:val="6EC23093"/>
    <w:rsid w:val="6EC23231"/>
    <w:rsid w:val="6EC310A5"/>
    <w:rsid w:val="6EC43237"/>
    <w:rsid w:val="6EC73357"/>
    <w:rsid w:val="6EC737C7"/>
    <w:rsid w:val="6ECA2727"/>
    <w:rsid w:val="6ED163C0"/>
    <w:rsid w:val="6ED266F7"/>
    <w:rsid w:val="6EE939F2"/>
    <w:rsid w:val="6EF22C5A"/>
    <w:rsid w:val="6F021829"/>
    <w:rsid w:val="6F08724A"/>
    <w:rsid w:val="6F14289F"/>
    <w:rsid w:val="6F153E64"/>
    <w:rsid w:val="6F162C84"/>
    <w:rsid w:val="6F263789"/>
    <w:rsid w:val="6F28474F"/>
    <w:rsid w:val="6F350882"/>
    <w:rsid w:val="6F35635E"/>
    <w:rsid w:val="6F3713E9"/>
    <w:rsid w:val="6F384951"/>
    <w:rsid w:val="6F447F07"/>
    <w:rsid w:val="6F4876AF"/>
    <w:rsid w:val="6F4B098C"/>
    <w:rsid w:val="6F537FC0"/>
    <w:rsid w:val="6F5E3CAA"/>
    <w:rsid w:val="6F5F4B14"/>
    <w:rsid w:val="6F607895"/>
    <w:rsid w:val="6F61040C"/>
    <w:rsid w:val="6F6776E1"/>
    <w:rsid w:val="6F6D2EDC"/>
    <w:rsid w:val="6F702CF5"/>
    <w:rsid w:val="6F714EFF"/>
    <w:rsid w:val="6F7A0C79"/>
    <w:rsid w:val="6F7E1B78"/>
    <w:rsid w:val="6F967ACA"/>
    <w:rsid w:val="6F9A4660"/>
    <w:rsid w:val="6F9C5D71"/>
    <w:rsid w:val="6FA3781E"/>
    <w:rsid w:val="6FA665A6"/>
    <w:rsid w:val="6FA9586A"/>
    <w:rsid w:val="6FAC61CF"/>
    <w:rsid w:val="6FAD768A"/>
    <w:rsid w:val="6FAF5C06"/>
    <w:rsid w:val="6FB32C37"/>
    <w:rsid w:val="6FB415FB"/>
    <w:rsid w:val="6FB51E4A"/>
    <w:rsid w:val="6FB63CDE"/>
    <w:rsid w:val="6FB7425E"/>
    <w:rsid w:val="6FB80EE8"/>
    <w:rsid w:val="6FC0781E"/>
    <w:rsid w:val="6FD36624"/>
    <w:rsid w:val="6FD86BFB"/>
    <w:rsid w:val="6FD964E5"/>
    <w:rsid w:val="6FDC6A2D"/>
    <w:rsid w:val="6FE53444"/>
    <w:rsid w:val="6FE76FE3"/>
    <w:rsid w:val="6FEE1369"/>
    <w:rsid w:val="6FF1528E"/>
    <w:rsid w:val="6FF561D1"/>
    <w:rsid w:val="6FFF10F4"/>
    <w:rsid w:val="700477C8"/>
    <w:rsid w:val="70065F3C"/>
    <w:rsid w:val="700C0460"/>
    <w:rsid w:val="700C3DC2"/>
    <w:rsid w:val="70111448"/>
    <w:rsid w:val="701458A7"/>
    <w:rsid w:val="70146689"/>
    <w:rsid w:val="70152C7C"/>
    <w:rsid w:val="70170F2B"/>
    <w:rsid w:val="701830B7"/>
    <w:rsid w:val="701C3A0F"/>
    <w:rsid w:val="701E2FAB"/>
    <w:rsid w:val="70206C25"/>
    <w:rsid w:val="702267D2"/>
    <w:rsid w:val="70291A05"/>
    <w:rsid w:val="702E0D9C"/>
    <w:rsid w:val="70370653"/>
    <w:rsid w:val="70385F59"/>
    <w:rsid w:val="70387A8F"/>
    <w:rsid w:val="70423736"/>
    <w:rsid w:val="70494AF1"/>
    <w:rsid w:val="704A6916"/>
    <w:rsid w:val="7054528E"/>
    <w:rsid w:val="70555B90"/>
    <w:rsid w:val="705E76BE"/>
    <w:rsid w:val="70680AC8"/>
    <w:rsid w:val="70684400"/>
    <w:rsid w:val="706C4E74"/>
    <w:rsid w:val="706D51B8"/>
    <w:rsid w:val="70712877"/>
    <w:rsid w:val="70737F32"/>
    <w:rsid w:val="70767F2C"/>
    <w:rsid w:val="70785A86"/>
    <w:rsid w:val="707E62BB"/>
    <w:rsid w:val="70871107"/>
    <w:rsid w:val="70910C43"/>
    <w:rsid w:val="70936BDF"/>
    <w:rsid w:val="70992BBC"/>
    <w:rsid w:val="709E4E34"/>
    <w:rsid w:val="709E640C"/>
    <w:rsid w:val="70A106DA"/>
    <w:rsid w:val="70A156F4"/>
    <w:rsid w:val="70A24763"/>
    <w:rsid w:val="70AC0E63"/>
    <w:rsid w:val="70AC59E2"/>
    <w:rsid w:val="70AD5CCA"/>
    <w:rsid w:val="70AF55CD"/>
    <w:rsid w:val="70B56633"/>
    <w:rsid w:val="70BB0D3E"/>
    <w:rsid w:val="70C52734"/>
    <w:rsid w:val="70C84253"/>
    <w:rsid w:val="70CA126A"/>
    <w:rsid w:val="70CB6779"/>
    <w:rsid w:val="70CE384D"/>
    <w:rsid w:val="70CF3906"/>
    <w:rsid w:val="70D057EA"/>
    <w:rsid w:val="70D91094"/>
    <w:rsid w:val="70DB76EF"/>
    <w:rsid w:val="70DB7ADF"/>
    <w:rsid w:val="70DE085B"/>
    <w:rsid w:val="70E47264"/>
    <w:rsid w:val="70F04773"/>
    <w:rsid w:val="70F147D7"/>
    <w:rsid w:val="71017D80"/>
    <w:rsid w:val="71031632"/>
    <w:rsid w:val="710524E2"/>
    <w:rsid w:val="710B03C6"/>
    <w:rsid w:val="710C1678"/>
    <w:rsid w:val="710F2DDC"/>
    <w:rsid w:val="711604AB"/>
    <w:rsid w:val="712762EB"/>
    <w:rsid w:val="712C3382"/>
    <w:rsid w:val="712D2ADB"/>
    <w:rsid w:val="712D4159"/>
    <w:rsid w:val="71346CB6"/>
    <w:rsid w:val="7136388E"/>
    <w:rsid w:val="713A1F62"/>
    <w:rsid w:val="713B0EA5"/>
    <w:rsid w:val="713E229B"/>
    <w:rsid w:val="714200B6"/>
    <w:rsid w:val="71431855"/>
    <w:rsid w:val="7143374A"/>
    <w:rsid w:val="7147738E"/>
    <w:rsid w:val="7148649A"/>
    <w:rsid w:val="714A6697"/>
    <w:rsid w:val="715117C4"/>
    <w:rsid w:val="71536701"/>
    <w:rsid w:val="71554E10"/>
    <w:rsid w:val="715D365A"/>
    <w:rsid w:val="715D7038"/>
    <w:rsid w:val="71606B8F"/>
    <w:rsid w:val="71636BC2"/>
    <w:rsid w:val="71676D13"/>
    <w:rsid w:val="716A160C"/>
    <w:rsid w:val="716B5F96"/>
    <w:rsid w:val="716C2775"/>
    <w:rsid w:val="716C65C5"/>
    <w:rsid w:val="716D67F7"/>
    <w:rsid w:val="716E08C5"/>
    <w:rsid w:val="71747EDF"/>
    <w:rsid w:val="7183292B"/>
    <w:rsid w:val="71890883"/>
    <w:rsid w:val="718B3A9F"/>
    <w:rsid w:val="71936186"/>
    <w:rsid w:val="71A535F8"/>
    <w:rsid w:val="71A5684D"/>
    <w:rsid w:val="71AE2BD5"/>
    <w:rsid w:val="71AF2F66"/>
    <w:rsid w:val="71B06996"/>
    <w:rsid w:val="71B0735B"/>
    <w:rsid w:val="71B31BCF"/>
    <w:rsid w:val="71B40CF8"/>
    <w:rsid w:val="71BA3B1E"/>
    <w:rsid w:val="71C061A0"/>
    <w:rsid w:val="71C2301C"/>
    <w:rsid w:val="71C45E90"/>
    <w:rsid w:val="71C96C07"/>
    <w:rsid w:val="71CA2E75"/>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F5D41"/>
    <w:rsid w:val="71F2174E"/>
    <w:rsid w:val="71F26295"/>
    <w:rsid w:val="71F64447"/>
    <w:rsid w:val="71FC70DF"/>
    <w:rsid w:val="720319CB"/>
    <w:rsid w:val="72056436"/>
    <w:rsid w:val="720979A0"/>
    <w:rsid w:val="720F633E"/>
    <w:rsid w:val="72130B93"/>
    <w:rsid w:val="721C688B"/>
    <w:rsid w:val="72200AF0"/>
    <w:rsid w:val="722E7DFE"/>
    <w:rsid w:val="723032E3"/>
    <w:rsid w:val="7235246C"/>
    <w:rsid w:val="723749D7"/>
    <w:rsid w:val="724219E5"/>
    <w:rsid w:val="72430835"/>
    <w:rsid w:val="724A1C04"/>
    <w:rsid w:val="724D4B1D"/>
    <w:rsid w:val="724E54F1"/>
    <w:rsid w:val="7254202A"/>
    <w:rsid w:val="725D29D6"/>
    <w:rsid w:val="725E4102"/>
    <w:rsid w:val="726248F8"/>
    <w:rsid w:val="72632A3F"/>
    <w:rsid w:val="727334E4"/>
    <w:rsid w:val="72756082"/>
    <w:rsid w:val="72772DDB"/>
    <w:rsid w:val="72796D22"/>
    <w:rsid w:val="727B2E39"/>
    <w:rsid w:val="72805AF5"/>
    <w:rsid w:val="72817EEF"/>
    <w:rsid w:val="72827328"/>
    <w:rsid w:val="72827920"/>
    <w:rsid w:val="728B2CA4"/>
    <w:rsid w:val="728B509F"/>
    <w:rsid w:val="728F0A31"/>
    <w:rsid w:val="72956B6B"/>
    <w:rsid w:val="729A297B"/>
    <w:rsid w:val="72A13C6B"/>
    <w:rsid w:val="72A310CE"/>
    <w:rsid w:val="72A60BAC"/>
    <w:rsid w:val="72AD212E"/>
    <w:rsid w:val="72AF09AE"/>
    <w:rsid w:val="72B10ABA"/>
    <w:rsid w:val="72B23B41"/>
    <w:rsid w:val="72B307F0"/>
    <w:rsid w:val="72B751B8"/>
    <w:rsid w:val="72BE13CE"/>
    <w:rsid w:val="72BE6371"/>
    <w:rsid w:val="72BF25A6"/>
    <w:rsid w:val="72C221EC"/>
    <w:rsid w:val="72CE3184"/>
    <w:rsid w:val="72CE7D06"/>
    <w:rsid w:val="72CF40C2"/>
    <w:rsid w:val="72D456A5"/>
    <w:rsid w:val="72E70D52"/>
    <w:rsid w:val="72EA6B66"/>
    <w:rsid w:val="72F17162"/>
    <w:rsid w:val="72F32F32"/>
    <w:rsid w:val="72FB32E0"/>
    <w:rsid w:val="72FB39EE"/>
    <w:rsid w:val="730235EB"/>
    <w:rsid w:val="7302733B"/>
    <w:rsid w:val="73036270"/>
    <w:rsid w:val="730469F7"/>
    <w:rsid w:val="730C6C75"/>
    <w:rsid w:val="73134A36"/>
    <w:rsid w:val="731649D2"/>
    <w:rsid w:val="731C28E7"/>
    <w:rsid w:val="731F2440"/>
    <w:rsid w:val="7320175D"/>
    <w:rsid w:val="73254DFB"/>
    <w:rsid w:val="7326097A"/>
    <w:rsid w:val="73267BB8"/>
    <w:rsid w:val="732A4A9B"/>
    <w:rsid w:val="733202B6"/>
    <w:rsid w:val="73323775"/>
    <w:rsid w:val="73343997"/>
    <w:rsid w:val="73370B0A"/>
    <w:rsid w:val="733C723A"/>
    <w:rsid w:val="733C7C6A"/>
    <w:rsid w:val="73425DF8"/>
    <w:rsid w:val="734E1729"/>
    <w:rsid w:val="73510529"/>
    <w:rsid w:val="73574996"/>
    <w:rsid w:val="73576962"/>
    <w:rsid w:val="73594121"/>
    <w:rsid w:val="735C705A"/>
    <w:rsid w:val="736411CC"/>
    <w:rsid w:val="7368410A"/>
    <w:rsid w:val="73690216"/>
    <w:rsid w:val="736A02D8"/>
    <w:rsid w:val="736C1945"/>
    <w:rsid w:val="73814AA3"/>
    <w:rsid w:val="738744DD"/>
    <w:rsid w:val="73893467"/>
    <w:rsid w:val="738A36E1"/>
    <w:rsid w:val="73912A81"/>
    <w:rsid w:val="73970334"/>
    <w:rsid w:val="739B1EFF"/>
    <w:rsid w:val="73A16D22"/>
    <w:rsid w:val="73B001E3"/>
    <w:rsid w:val="73B1400F"/>
    <w:rsid w:val="73B4611E"/>
    <w:rsid w:val="73B7366A"/>
    <w:rsid w:val="73BA064C"/>
    <w:rsid w:val="73BB3C6E"/>
    <w:rsid w:val="73CE1997"/>
    <w:rsid w:val="73D260A7"/>
    <w:rsid w:val="73DB12EA"/>
    <w:rsid w:val="73DB45F5"/>
    <w:rsid w:val="73DD2FB8"/>
    <w:rsid w:val="73DD3CB3"/>
    <w:rsid w:val="73DE1AB7"/>
    <w:rsid w:val="73EC7C9D"/>
    <w:rsid w:val="73EE45A8"/>
    <w:rsid w:val="73EE6F0E"/>
    <w:rsid w:val="73F305B7"/>
    <w:rsid w:val="73F5257C"/>
    <w:rsid w:val="73F67B1C"/>
    <w:rsid w:val="73F8258B"/>
    <w:rsid w:val="73FF2CB2"/>
    <w:rsid w:val="74025F28"/>
    <w:rsid w:val="7407051F"/>
    <w:rsid w:val="740C0741"/>
    <w:rsid w:val="740E71A7"/>
    <w:rsid w:val="74102BF5"/>
    <w:rsid w:val="741076D1"/>
    <w:rsid w:val="74115578"/>
    <w:rsid w:val="74141C1A"/>
    <w:rsid w:val="74215D04"/>
    <w:rsid w:val="74257C35"/>
    <w:rsid w:val="742A0965"/>
    <w:rsid w:val="742D019C"/>
    <w:rsid w:val="742D6DB6"/>
    <w:rsid w:val="742E6655"/>
    <w:rsid w:val="742E74D7"/>
    <w:rsid w:val="744642D9"/>
    <w:rsid w:val="74522D94"/>
    <w:rsid w:val="7467225C"/>
    <w:rsid w:val="746B086B"/>
    <w:rsid w:val="746B2FD5"/>
    <w:rsid w:val="746C430C"/>
    <w:rsid w:val="746D6628"/>
    <w:rsid w:val="74712155"/>
    <w:rsid w:val="74775754"/>
    <w:rsid w:val="74782A8C"/>
    <w:rsid w:val="747C7F5F"/>
    <w:rsid w:val="747F0E23"/>
    <w:rsid w:val="7490285F"/>
    <w:rsid w:val="74964674"/>
    <w:rsid w:val="749D5800"/>
    <w:rsid w:val="74A63A12"/>
    <w:rsid w:val="74A73312"/>
    <w:rsid w:val="74A739B2"/>
    <w:rsid w:val="74B06962"/>
    <w:rsid w:val="74B32215"/>
    <w:rsid w:val="74BC7516"/>
    <w:rsid w:val="74C0607C"/>
    <w:rsid w:val="74C46840"/>
    <w:rsid w:val="74CD72B7"/>
    <w:rsid w:val="74D575AA"/>
    <w:rsid w:val="74D71DDE"/>
    <w:rsid w:val="74D75874"/>
    <w:rsid w:val="74D95703"/>
    <w:rsid w:val="74DA7956"/>
    <w:rsid w:val="74DD27EB"/>
    <w:rsid w:val="74E11F86"/>
    <w:rsid w:val="74E61F22"/>
    <w:rsid w:val="74FB509B"/>
    <w:rsid w:val="74FB6035"/>
    <w:rsid w:val="74FF07F1"/>
    <w:rsid w:val="7502618E"/>
    <w:rsid w:val="7507587E"/>
    <w:rsid w:val="750934A8"/>
    <w:rsid w:val="750A15E4"/>
    <w:rsid w:val="750C76FA"/>
    <w:rsid w:val="751975AF"/>
    <w:rsid w:val="751E29FC"/>
    <w:rsid w:val="752B3381"/>
    <w:rsid w:val="75325694"/>
    <w:rsid w:val="7534402F"/>
    <w:rsid w:val="75376E15"/>
    <w:rsid w:val="753B454F"/>
    <w:rsid w:val="753D6B7D"/>
    <w:rsid w:val="753D759A"/>
    <w:rsid w:val="75441B17"/>
    <w:rsid w:val="75457EFF"/>
    <w:rsid w:val="7554481F"/>
    <w:rsid w:val="75594581"/>
    <w:rsid w:val="755A35FA"/>
    <w:rsid w:val="755A5494"/>
    <w:rsid w:val="75625A16"/>
    <w:rsid w:val="7564200E"/>
    <w:rsid w:val="75663FD1"/>
    <w:rsid w:val="75677137"/>
    <w:rsid w:val="75696461"/>
    <w:rsid w:val="756F19B6"/>
    <w:rsid w:val="757540E3"/>
    <w:rsid w:val="757D2DDE"/>
    <w:rsid w:val="75860377"/>
    <w:rsid w:val="758F201D"/>
    <w:rsid w:val="75904ECF"/>
    <w:rsid w:val="75912385"/>
    <w:rsid w:val="759739B3"/>
    <w:rsid w:val="75991C4A"/>
    <w:rsid w:val="75994792"/>
    <w:rsid w:val="759A05AB"/>
    <w:rsid w:val="759A4930"/>
    <w:rsid w:val="759B02AD"/>
    <w:rsid w:val="759B0C43"/>
    <w:rsid w:val="759B5CAF"/>
    <w:rsid w:val="75A53BC6"/>
    <w:rsid w:val="75BB549C"/>
    <w:rsid w:val="75C123A7"/>
    <w:rsid w:val="75C1550C"/>
    <w:rsid w:val="75C525B4"/>
    <w:rsid w:val="75C757CB"/>
    <w:rsid w:val="75CA4550"/>
    <w:rsid w:val="75CC74C8"/>
    <w:rsid w:val="75CD2584"/>
    <w:rsid w:val="75D1230F"/>
    <w:rsid w:val="75D357A7"/>
    <w:rsid w:val="75DA5FC8"/>
    <w:rsid w:val="75DB08A6"/>
    <w:rsid w:val="75DB5FA1"/>
    <w:rsid w:val="75E2330A"/>
    <w:rsid w:val="75E42ED2"/>
    <w:rsid w:val="75E7499A"/>
    <w:rsid w:val="75F75D00"/>
    <w:rsid w:val="75F8074C"/>
    <w:rsid w:val="7600209C"/>
    <w:rsid w:val="760049B0"/>
    <w:rsid w:val="760200DC"/>
    <w:rsid w:val="760218FE"/>
    <w:rsid w:val="76070A73"/>
    <w:rsid w:val="761014A5"/>
    <w:rsid w:val="76213B4B"/>
    <w:rsid w:val="76240922"/>
    <w:rsid w:val="76250B12"/>
    <w:rsid w:val="762D3356"/>
    <w:rsid w:val="762D70E7"/>
    <w:rsid w:val="7630359D"/>
    <w:rsid w:val="76337691"/>
    <w:rsid w:val="763B42FB"/>
    <w:rsid w:val="763D17BB"/>
    <w:rsid w:val="763D4BE9"/>
    <w:rsid w:val="763F1F92"/>
    <w:rsid w:val="76424474"/>
    <w:rsid w:val="76437632"/>
    <w:rsid w:val="76451CD6"/>
    <w:rsid w:val="76451E5F"/>
    <w:rsid w:val="76452780"/>
    <w:rsid w:val="764B66A1"/>
    <w:rsid w:val="764D66D2"/>
    <w:rsid w:val="764F7670"/>
    <w:rsid w:val="7650794E"/>
    <w:rsid w:val="76526C65"/>
    <w:rsid w:val="76587361"/>
    <w:rsid w:val="765F0FBA"/>
    <w:rsid w:val="766314AA"/>
    <w:rsid w:val="76671958"/>
    <w:rsid w:val="76674D6A"/>
    <w:rsid w:val="76690632"/>
    <w:rsid w:val="766E0B9F"/>
    <w:rsid w:val="766F546C"/>
    <w:rsid w:val="767469E2"/>
    <w:rsid w:val="76775F0B"/>
    <w:rsid w:val="767A76A8"/>
    <w:rsid w:val="767E2DAC"/>
    <w:rsid w:val="76894819"/>
    <w:rsid w:val="768B6B92"/>
    <w:rsid w:val="768C5C8C"/>
    <w:rsid w:val="768D57E3"/>
    <w:rsid w:val="768F7736"/>
    <w:rsid w:val="76932317"/>
    <w:rsid w:val="76A53B61"/>
    <w:rsid w:val="76A56649"/>
    <w:rsid w:val="76A56898"/>
    <w:rsid w:val="76A652D8"/>
    <w:rsid w:val="76A81E8A"/>
    <w:rsid w:val="76AF378A"/>
    <w:rsid w:val="76B153BA"/>
    <w:rsid w:val="76BE7B18"/>
    <w:rsid w:val="76BF40F9"/>
    <w:rsid w:val="76C72CA0"/>
    <w:rsid w:val="76D02C26"/>
    <w:rsid w:val="76D63C26"/>
    <w:rsid w:val="76E36B6A"/>
    <w:rsid w:val="76ED0EF4"/>
    <w:rsid w:val="76EF7937"/>
    <w:rsid w:val="76F2295F"/>
    <w:rsid w:val="76F50A9F"/>
    <w:rsid w:val="76F54B72"/>
    <w:rsid w:val="76FA2A7D"/>
    <w:rsid w:val="76FC1359"/>
    <w:rsid w:val="76FD2D1D"/>
    <w:rsid w:val="77062DA9"/>
    <w:rsid w:val="770D756F"/>
    <w:rsid w:val="770F088C"/>
    <w:rsid w:val="771865D9"/>
    <w:rsid w:val="77187F65"/>
    <w:rsid w:val="771C46CE"/>
    <w:rsid w:val="77284F7D"/>
    <w:rsid w:val="7729766A"/>
    <w:rsid w:val="772D35A6"/>
    <w:rsid w:val="772D3786"/>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B5F51"/>
    <w:rsid w:val="777D53E6"/>
    <w:rsid w:val="777E1FE2"/>
    <w:rsid w:val="777F7D93"/>
    <w:rsid w:val="77805CCF"/>
    <w:rsid w:val="778067C2"/>
    <w:rsid w:val="77847A56"/>
    <w:rsid w:val="77884DA5"/>
    <w:rsid w:val="778C50BD"/>
    <w:rsid w:val="778C5286"/>
    <w:rsid w:val="778F0D7D"/>
    <w:rsid w:val="778F49BD"/>
    <w:rsid w:val="77966F4C"/>
    <w:rsid w:val="779A317D"/>
    <w:rsid w:val="779D7890"/>
    <w:rsid w:val="779E1756"/>
    <w:rsid w:val="779E309B"/>
    <w:rsid w:val="77A31525"/>
    <w:rsid w:val="77A47BCA"/>
    <w:rsid w:val="77A75021"/>
    <w:rsid w:val="77B4796D"/>
    <w:rsid w:val="77B8689C"/>
    <w:rsid w:val="77BD5A24"/>
    <w:rsid w:val="77C2510C"/>
    <w:rsid w:val="77C833A2"/>
    <w:rsid w:val="77C86879"/>
    <w:rsid w:val="77D21E05"/>
    <w:rsid w:val="77D26B27"/>
    <w:rsid w:val="77E568E3"/>
    <w:rsid w:val="77E746B2"/>
    <w:rsid w:val="77EE19D2"/>
    <w:rsid w:val="77EF4577"/>
    <w:rsid w:val="77F62755"/>
    <w:rsid w:val="77F62779"/>
    <w:rsid w:val="77F82ED8"/>
    <w:rsid w:val="77F92249"/>
    <w:rsid w:val="78036043"/>
    <w:rsid w:val="780F6F82"/>
    <w:rsid w:val="781164D0"/>
    <w:rsid w:val="7813374F"/>
    <w:rsid w:val="781616FD"/>
    <w:rsid w:val="781838FF"/>
    <w:rsid w:val="781A21DD"/>
    <w:rsid w:val="781A5E54"/>
    <w:rsid w:val="781B3886"/>
    <w:rsid w:val="78245D77"/>
    <w:rsid w:val="782466AD"/>
    <w:rsid w:val="782A738E"/>
    <w:rsid w:val="78306028"/>
    <w:rsid w:val="78316382"/>
    <w:rsid w:val="78326BCF"/>
    <w:rsid w:val="78355626"/>
    <w:rsid w:val="783643C3"/>
    <w:rsid w:val="78375EBD"/>
    <w:rsid w:val="783A01F4"/>
    <w:rsid w:val="784151EC"/>
    <w:rsid w:val="78451319"/>
    <w:rsid w:val="784563AF"/>
    <w:rsid w:val="78480067"/>
    <w:rsid w:val="7849196F"/>
    <w:rsid w:val="78496142"/>
    <w:rsid w:val="78591903"/>
    <w:rsid w:val="785B65FF"/>
    <w:rsid w:val="785D1993"/>
    <w:rsid w:val="785D73A1"/>
    <w:rsid w:val="785E356A"/>
    <w:rsid w:val="78620E7C"/>
    <w:rsid w:val="787659AD"/>
    <w:rsid w:val="788446BE"/>
    <w:rsid w:val="78862765"/>
    <w:rsid w:val="7888219B"/>
    <w:rsid w:val="78883E95"/>
    <w:rsid w:val="78887070"/>
    <w:rsid w:val="788908C8"/>
    <w:rsid w:val="78942734"/>
    <w:rsid w:val="78945931"/>
    <w:rsid w:val="78993306"/>
    <w:rsid w:val="789E6596"/>
    <w:rsid w:val="78A04E20"/>
    <w:rsid w:val="78A36BF5"/>
    <w:rsid w:val="78A561F3"/>
    <w:rsid w:val="78A953B7"/>
    <w:rsid w:val="78AB3452"/>
    <w:rsid w:val="78B0117B"/>
    <w:rsid w:val="78B706A3"/>
    <w:rsid w:val="78B744F1"/>
    <w:rsid w:val="78B91C9F"/>
    <w:rsid w:val="78BC539D"/>
    <w:rsid w:val="78C134B0"/>
    <w:rsid w:val="78C1373F"/>
    <w:rsid w:val="78C448EB"/>
    <w:rsid w:val="78C64CC0"/>
    <w:rsid w:val="78C67D14"/>
    <w:rsid w:val="78C67F88"/>
    <w:rsid w:val="78C91115"/>
    <w:rsid w:val="78C9689B"/>
    <w:rsid w:val="78CD3535"/>
    <w:rsid w:val="78D97F0E"/>
    <w:rsid w:val="78DA009A"/>
    <w:rsid w:val="78DC2FA9"/>
    <w:rsid w:val="78DD4939"/>
    <w:rsid w:val="78E062D1"/>
    <w:rsid w:val="78EB1C8F"/>
    <w:rsid w:val="78ED2BD0"/>
    <w:rsid w:val="78F277DF"/>
    <w:rsid w:val="78F40C87"/>
    <w:rsid w:val="78F57D87"/>
    <w:rsid w:val="78F60513"/>
    <w:rsid w:val="78F66B5A"/>
    <w:rsid w:val="78F81DAC"/>
    <w:rsid w:val="78FC7FC2"/>
    <w:rsid w:val="79042DE3"/>
    <w:rsid w:val="79090259"/>
    <w:rsid w:val="790D08D2"/>
    <w:rsid w:val="790D0BF3"/>
    <w:rsid w:val="790D4F70"/>
    <w:rsid w:val="790D7FE6"/>
    <w:rsid w:val="791474A8"/>
    <w:rsid w:val="79176206"/>
    <w:rsid w:val="79193B81"/>
    <w:rsid w:val="791C7612"/>
    <w:rsid w:val="79213934"/>
    <w:rsid w:val="79221399"/>
    <w:rsid w:val="792329CB"/>
    <w:rsid w:val="792378FC"/>
    <w:rsid w:val="792C23E8"/>
    <w:rsid w:val="7930058A"/>
    <w:rsid w:val="793248F9"/>
    <w:rsid w:val="7932627F"/>
    <w:rsid w:val="79350D11"/>
    <w:rsid w:val="79351894"/>
    <w:rsid w:val="7940572D"/>
    <w:rsid w:val="794353F6"/>
    <w:rsid w:val="79461391"/>
    <w:rsid w:val="79474814"/>
    <w:rsid w:val="79492AA1"/>
    <w:rsid w:val="794B4D74"/>
    <w:rsid w:val="79501475"/>
    <w:rsid w:val="79524043"/>
    <w:rsid w:val="795A5499"/>
    <w:rsid w:val="796A2D8C"/>
    <w:rsid w:val="796E35F2"/>
    <w:rsid w:val="7970341A"/>
    <w:rsid w:val="7971290E"/>
    <w:rsid w:val="79756908"/>
    <w:rsid w:val="79762768"/>
    <w:rsid w:val="797951A9"/>
    <w:rsid w:val="797C0892"/>
    <w:rsid w:val="798C57FA"/>
    <w:rsid w:val="798E4989"/>
    <w:rsid w:val="7990174F"/>
    <w:rsid w:val="799537B4"/>
    <w:rsid w:val="799A4E91"/>
    <w:rsid w:val="79A02BCA"/>
    <w:rsid w:val="79A15149"/>
    <w:rsid w:val="79A37CCA"/>
    <w:rsid w:val="79A71C2E"/>
    <w:rsid w:val="79A74BCA"/>
    <w:rsid w:val="79A75AAF"/>
    <w:rsid w:val="79A8657B"/>
    <w:rsid w:val="79AE39E9"/>
    <w:rsid w:val="79B57356"/>
    <w:rsid w:val="79BD3E41"/>
    <w:rsid w:val="79BF2784"/>
    <w:rsid w:val="79C0597A"/>
    <w:rsid w:val="79C24EDF"/>
    <w:rsid w:val="79C66717"/>
    <w:rsid w:val="79C876AF"/>
    <w:rsid w:val="79C95AED"/>
    <w:rsid w:val="79D62785"/>
    <w:rsid w:val="79DF1EBA"/>
    <w:rsid w:val="79E07F61"/>
    <w:rsid w:val="79E12ED9"/>
    <w:rsid w:val="79E352FF"/>
    <w:rsid w:val="79E9023D"/>
    <w:rsid w:val="79ED6701"/>
    <w:rsid w:val="79EE7E8E"/>
    <w:rsid w:val="79F30A3A"/>
    <w:rsid w:val="79F934E7"/>
    <w:rsid w:val="79FB2D0B"/>
    <w:rsid w:val="7A027298"/>
    <w:rsid w:val="7A052E17"/>
    <w:rsid w:val="7A097B67"/>
    <w:rsid w:val="7A0F1525"/>
    <w:rsid w:val="7A10389D"/>
    <w:rsid w:val="7A157806"/>
    <w:rsid w:val="7A200921"/>
    <w:rsid w:val="7A245751"/>
    <w:rsid w:val="7A262C2D"/>
    <w:rsid w:val="7A291938"/>
    <w:rsid w:val="7A303F52"/>
    <w:rsid w:val="7A3C7419"/>
    <w:rsid w:val="7A3D7CC0"/>
    <w:rsid w:val="7A4006D3"/>
    <w:rsid w:val="7A4801BB"/>
    <w:rsid w:val="7A485CE1"/>
    <w:rsid w:val="7A491EF3"/>
    <w:rsid w:val="7A4D07BA"/>
    <w:rsid w:val="7A5863D3"/>
    <w:rsid w:val="7A5C5FAF"/>
    <w:rsid w:val="7A634604"/>
    <w:rsid w:val="7A64499E"/>
    <w:rsid w:val="7A6656B6"/>
    <w:rsid w:val="7A665F09"/>
    <w:rsid w:val="7A6C3449"/>
    <w:rsid w:val="7A711BBA"/>
    <w:rsid w:val="7A723F72"/>
    <w:rsid w:val="7A743D9C"/>
    <w:rsid w:val="7A7B2C10"/>
    <w:rsid w:val="7A7C5C51"/>
    <w:rsid w:val="7A7D4128"/>
    <w:rsid w:val="7A7E70A2"/>
    <w:rsid w:val="7A8075BA"/>
    <w:rsid w:val="7A820760"/>
    <w:rsid w:val="7A87742E"/>
    <w:rsid w:val="7A9123B7"/>
    <w:rsid w:val="7A9711EE"/>
    <w:rsid w:val="7A9A1B33"/>
    <w:rsid w:val="7A9B74B6"/>
    <w:rsid w:val="7A9C3E5C"/>
    <w:rsid w:val="7A9D1CEF"/>
    <w:rsid w:val="7AA16CBD"/>
    <w:rsid w:val="7AA5277A"/>
    <w:rsid w:val="7AA6700D"/>
    <w:rsid w:val="7AA952CF"/>
    <w:rsid w:val="7AAE678B"/>
    <w:rsid w:val="7AB07C78"/>
    <w:rsid w:val="7AB514B2"/>
    <w:rsid w:val="7AB83F3A"/>
    <w:rsid w:val="7ACA29DF"/>
    <w:rsid w:val="7ACD2D7F"/>
    <w:rsid w:val="7AD27B42"/>
    <w:rsid w:val="7AD3781C"/>
    <w:rsid w:val="7AD53EC1"/>
    <w:rsid w:val="7AD62573"/>
    <w:rsid w:val="7AD84E14"/>
    <w:rsid w:val="7ADB474B"/>
    <w:rsid w:val="7ADB7F1A"/>
    <w:rsid w:val="7ADE0439"/>
    <w:rsid w:val="7AE55787"/>
    <w:rsid w:val="7AE833BC"/>
    <w:rsid w:val="7AF91DAF"/>
    <w:rsid w:val="7AF9607E"/>
    <w:rsid w:val="7B0072B4"/>
    <w:rsid w:val="7B0211AC"/>
    <w:rsid w:val="7B0C08EF"/>
    <w:rsid w:val="7B0E0FFA"/>
    <w:rsid w:val="7B18546A"/>
    <w:rsid w:val="7B1B467F"/>
    <w:rsid w:val="7B1E73DE"/>
    <w:rsid w:val="7B1F59AA"/>
    <w:rsid w:val="7B214978"/>
    <w:rsid w:val="7B391012"/>
    <w:rsid w:val="7B394905"/>
    <w:rsid w:val="7B3E674E"/>
    <w:rsid w:val="7B471906"/>
    <w:rsid w:val="7B4A5781"/>
    <w:rsid w:val="7B4C03D4"/>
    <w:rsid w:val="7B4E09BF"/>
    <w:rsid w:val="7B4F6A66"/>
    <w:rsid w:val="7B546C0C"/>
    <w:rsid w:val="7B603C7C"/>
    <w:rsid w:val="7B6171E6"/>
    <w:rsid w:val="7B6452CE"/>
    <w:rsid w:val="7B65590F"/>
    <w:rsid w:val="7B6E2AB1"/>
    <w:rsid w:val="7B736B52"/>
    <w:rsid w:val="7B771CED"/>
    <w:rsid w:val="7B7C1A5E"/>
    <w:rsid w:val="7B841287"/>
    <w:rsid w:val="7B8D07A1"/>
    <w:rsid w:val="7B901B0B"/>
    <w:rsid w:val="7B9422CC"/>
    <w:rsid w:val="7B9E7675"/>
    <w:rsid w:val="7BA0581E"/>
    <w:rsid w:val="7BA22D26"/>
    <w:rsid w:val="7BA521BC"/>
    <w:rsid w:val="7BA63294"/>
    <w:rsid w:val="7BAA2B37"/>
    <w:rsid w:val="7BAB7079"/>
    <w:rsid w:val="7BB145C1"/>
    <w:rsid w:val="7BB2241E"/>
    <w:rsid w:val="7BB37F9E"/>
    <w:rsid w:val="7BBD1B11"/>
    <w:rsid w:val="7BC17EBE"/>
    <w:rsid w:val="7BC212EB"/>
    <w:rsid w:val="7BC43666"/>
    <w:rsid w:val="7BC81295"/>
    <w:rsid w:val="7BC8293C"/>
    <w:rsid w:val="7BC87053"/>
    <w:rsid w:val="7BD01BA1"/>
    <w:rsid w:val="7BD13894"/>
    <w:rsid w:val="7BD64EE8"/>
    <w:rsid w:val="7BDC009C"/>
    <w:rsid w:val="7BDE0174"/>
    <w:rsid w:val="7BDF18E6"/>
    <w:rsid w:val="7BE131F6"/>
    <w:rsid w:val="7BEE6A15"/>
    <w:rsid w:val="7BF11348"/>
    <w:rsid w:val="7BF542FE"/>
    <w:rsid w:val="7BFF0642"/>
    <w:rsid w:val="7C025EFA"/>
    <w:rsid w:val="7C05243A"/>
    <w:rsid w:val="7C056E44"/>
    <w:rsid w:val="7C0E7D8C"/>
    <w:rsid w:val="7C0F792E"/>
    <w:rsid w:val="7C206952"/>
    <w:rsid w:val="7C2D1C60"/>
    <w:rsid w:val="7C306953"/>
    <w:rsid w:val="7C3832F5"/>
    <w:rsid w:val="7C394D1F"/>
    <w:rsid w:val="7C42281E"/>
    <w:rsid w:val="7C472DAB"/>
    <w:rsid w:val="7C524D9C"/>
    <w:rsid w:val="7C550FEC"/>
    <w:rsid w:val="7C574C21"/>
    <w:rsid w:val="7C5F4D1F"/>
    <w:rsid w:val="7C610C91"/>
    <w:rsid w:val="7C613AEC"/>
    <w:rsid w:val="7C6271F4"/>
    <w:rsid w:val="7C655448"/>
    <w:rsid w:val="7C6E7E2C"/>
    <w:rsid w:val="7C734075"/>
    <w:rsid w:val="7C7468D9"/>
    <w:rsid w:val="7C764182"/>
    <w:rsid w:val="7C773CA6"/>
    <w:rsid w:val="7C815D2A"/>
    <w:rsid w:val="7C831756"/>
    <w:rsid w:val="7C8348FB"/>
    <w:rsid w:val="7C8C4CAB"/>
    <w:rsid w:val="7C982736"/>
    <w:rsid w:val="7C9A2FA3"/>
    <w:rsid w:val="7C9E5A24"/>
    <w:rsid w:val="7CA039F8"/>
    <w:rsid w:val="7CA3583F"/>
    <w:rsid w:val="7CA67728"/>
    <w:rsid w:val="7CAE7576"/>
    <w:rsid w:val="7CB027DF"/>
    <w:rsid w:val="7CB2364E"/>
    <w:rsid w:val="7CB271E9"/>
    <w:rsid w:val="7CB62523"/>
    <w:rsid w:val="7CBF0DEF"/>
    <w:rsid w:val="7CCA5583"/>
    <w:rsid w:val="7CCE6E72"/>
    <w:rsid w:val="7CCF1812"/>
    <w:rsid w:val="7CD72F9B"/>
    <w:rsid w:val="7CDF394D"/>
    <w:rsid w:val="7CE146B6"/>
    <w:rsid w:val="7CE65C11"/>
    <w:rsid w:val="7CE70935"/>
    <w:rsid w:val="7CE95686"/>
    <w:rsid w:val="7CF31FF6"/>
    <w:rsid w:val="7CF84A31"/>
    <w:rsid w:val="7CFC44C2"/>
    <w:rsid w:val="7CFD787D"/>
    <w:rsid w:val="7CFF1C44"/>
    <w:rsid w:val="7CFF28B4"/>
    <w:rsid w:val="7D002885"/>
    <w:rsid w:val="7D013B39"/>
    <w:rsid w:val="7D060FAD"/>
    <w:rsid w:val="7D0826CA"/>
    <w:rsid w:val="7D0D06E5"/>
    <w:rsid w:val="7D130509"/>
    <w:rsid w:val="7D1946C0"/>
    <w:rsid w:val="7D1D7FE9"/>
    <w:rsid w:val="7D292A41"/>
    <w:rsid w:val="7D2A5CCB"/>
    <w:rsid w:val="7D300202"/>
    <w:rsid w:val="7D377B94"/>
    <w:rsid w:val="7D401CAA"/>
    <w:rsid w:val="7D4E195B"/>
    <w:rsid w:val="7D515EFA"/>
    <w:rsid w:val="7D5431B0"/>
    <w:rsid w:val="7D552AEA"/>
    <w:rsid w:val="7D635C6D"/>
    <w:rsid w:val="7D64087E"/>
    <w:rsid w:val="7D642C85"/>
    <w:rsid w:val="7D69117D"/>
    <w:rsid w:val="7D696CB2"/>
    <w:rsid w:val="7D6B4608"/>
    <w:rsid w:val="7D6F06CE"/>
    <w:rsid w:val="7D7A555A"/>
    <w:rsid w:val="7D7F5298"/>
    <w:rsid w:val="7D8362BA"/>
    <w:rsid w:val="7D885FC9"/>
    <w:rsid w:val="7D8B7B11"/>
    <w:rsid w:val="7D9F0F7A"/>
    <w:rsid w:val="7DA843EE"/>
    <w:rsid w:val="7DA948C4"/>
    <w:rsid w:val="7DAB10BD"/>
    <w:rsid w:val="7DAF4AB4"/>
    <w:rsid w:val="7DBE609A"/>
    <w:rsid w:val="7DBF2E7A"/>
    <w:rsid w:val="7DBF4FA6"/>
    <w:rsid w:val="7DC266E0"/>
    <w:rsid w:val="7DC4279D"/>
    <w:rsid w:val="7DCA054D"/>
    <w:rsid w:val="7DCC7A63"/>
    <w:rsid w:val="7DD7657D"/>
    <w:rsid w:val="7DDA6C39"/>
    <w:rsid w:val="7DE15552"/>
    <w:rsid w:val="7DE16744"/>
    <w:rsid w:val="7DE653AB"/>
    <w:rsid w:val="7DE71438"/>
    <w:rsid w:val="7DEB2C44"/>
    <w:rsid w:val="7DED0633"/>
    <w:rsid w:val="7DF464FC"/>
    <w:rsid w:val="7DFE63E1"/>
    <w:rsid w:val="7E006A11"/>
    <w:rsid w:val="7E043ED9"/>
    <w:rsid w:val="7E104623"/>
    <w:rsid w:val="7E1C55F3"/>
    <w:rsid w:val="7E202566"/>
    <w:rsid w:val="7E222965"/>
    <w:rsid w:val="7E293001"/>
    <w:rsid w:val="7E2D6A9A"/>
    <w:rsid w:val="7E2E7D3F"/>
    <w:rsid w:val="7E2F1D57"/>
    <w:rsid w:val="7E330B2F"/>
    <w:rsid w:val="7E347694"/>
    <w:rsid w:val="7E3B5911"/>
    <w:rsid w:val="7E452536"/>
    <w:rsid w:val="7E495416"/>
    <w:rsid w:val="7E497873"/>
    <w:rsid w:val="7E4A44B6"/>
    <w:rsid w:val="7E4C7986"/>
    <w:rsid w:val="7E523F24"/>
    <w:rsid w:val="7E570488"/>
    <w:rsid w:val="7E573082"/>
    <w:rsid w:val="7E593C4C"/>
    <w:rsid w:val="7E712F31"/>
    <w:rsid w:val="7E73403B"/>
    <w:rsid w:val="7E750E81"/>
    <w:rsid w:val="7E760C9A"/>
    <w:rsid w:val="7E761EFC"/>
    <w:rsid w:val="7E79060D"/>
    <w:rsid w:val="7E7E2B41"/>
    <w:rsid w:val="7E8D3E75"/>
    <w:rsid w:val="7E9044A6"/>
    <w:rsid w:val="7E922E52"/>
    <w:rsid w:val="7EA10518"/>
    <w:rsid w:val="7EA37537"/>
    <w:rsid w:val="7EA8533A"/>
    <w:rsid w:val="7EA87297"/>
    <w:rsid w:val="7EAE1E9B"/>
    <w:rsid w:val="7EB56059"/>
    <w:rsid w:val="7EB73383"/>
    <w:rsid w:val="7EBD506F"/>
    <w:rsid w:val="7EC22792"/>
    <w:rsid w:val="7EC23404"/>
    <w:rsid w:val="7EC57DB4"/>
    <w:rsid w:val="7ED55364"/>
    <w:rsid w:val="7ED61FF8"/>
    <w:rsid w:val="7ED766B7"/>
    <w:rsid w:val="7EDE52DA"/>
    <w:rsid w:val="7EE53087"/>
    <w:rsid w:val="7EE92EC4"/>
    <w:rsid w:val="7EEB1AD7"/>
    <w:rsid w:val="7EEC4A0C"/>
    <w:rsid w:val="7EEF5C7E"/>
    <w:rsid w:val="7EF06DAD"/>
    <w:rsid w:val="7EF34983"/>
    <w:rsid w:val="7EF624E9"/>
    <w:rsid w:val="7EFA4392"/>
    <w:rsid w:val="7EFC56FC"/>
    <w:rsid w:val="7F050405"/>
    <w:rsid w:val="7F057503"/>
    <w:rsid w:val="7F0715DA"/>
    <w:rsid w:val="7F085E6E"/>
    <w:rsid w:val="7F090A0E"/>
    <w:rsid w:val="7F0C0396"/>
    <w:rsid w:val="7F0F0634"/>
    <w:rsid w:val="7F111CB1"/>
    <w:rsid w:val="7F11316C"/>
    <w:rsid w:val="7F160CCE"/>
    <w:rsid w:val="7F18438A"/>
    <w:rsid w:val="7F233D48"/>
    <w:rsid w:val="7F2618F3"/>
    <w:rsid w:val="7F314300"/>
    <w:rsid w:val="7F340461"/>
    <w:rsid w:val="7F35713F"/>
    <w:rsid w:val="7F3757D3"/>
    <w:rsid w:val="7F3A2780"/>
    <w:rsid w:val="7F3A44DE"/>
    <w:rsid w:val="7F3A7611"/>
    <w:rsid w:val="7F3B01C9"/>
    <w:rsid w:val="7F4A17F6"/>
    <w:rsid w:val="7F536DE1"/>
    <w:rsid w:val="7F6339F7"/>
    <w:rsid w:val="7F7E49B6"/>
    <w:rsid w:val="7F8403DB"/>
    <w:rsid w:val="7F8660CD"/>
    <w:rsid w:val="7F8A2E2C"/>
    <w:rsid w:val="7F963419"/>
    <w:rsid w:val="7F98528E"/>
    <w:rsid w:val="7FA069EC"/>
    <w:rsid w:val="7FB351E6"/>
    <w:rsid w:val="7FB422D4"/>
    <w:rsid w:val="7FD277AE"/>
    <w:rsid w:val="7FDA2CD0"/>
    <w:rsid w:val="7FDB769F"/>
    <w:rsid w:val="7FE60FE4"/>
    <w:rsid w:val="7FEC3961"/>
    <w:rsid w:val="7FEC7AE0"/>
    <w:rsid w:val="7FEE568F"/>
    <w:rsid w:val="7FEF3E84"/>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0"/>
    <w:unhideWhenUsed/>
    <w:qFormat/>
    <w:uiPriority w:val="99"/>
    <w:rPr>
      <w:sz w:val="18"/>
      <w:szCs w:val="18"/>
    </w:rPr>
  </w:style>
  <w:style w:type="paragraph" w:styleId="19">
    <w:name w:val="footer"/>
    <w:basedOn w:val="1"/>
    <w:link w:val="86"/>
    <w:unhideWhenUsed/>
    <w:qFormat/>
    <w:uiPriority w:val="99"/>
    <w:pPr>
      <w:tabs>
        <w:tab w:val="center" w:pos="4153"/>
        <w:tab w:val="right" w:pos="8306"/>
      </w:tabs>
      <w:jc w:val="left"/>
    </w:pPr>
  </w:style>
  <w:style w:type="paragraph" w:styleId="20">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17"/>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8"/>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20"/>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9"/>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8">
    <w:name w:val="Tabellengitternetz1"/>
    <w:basedOn w:val="26"/>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Guidance"/>
    <w:basedOn w:val="1"/>
    <w:qFormat/>
    <w:uiPriority w:val="0"/>
    <w:rPr>
      <w:i/>
      <w:color w:val="0000FF"/>
    </w:rPr>
  </w:style>
  <w:style w:type="table" w:customStyle="1" w:styleId="110">
    <w:name w:val="网格型1"/>
    <w:basedOn w:val="2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B2"/>
    <w:basedOn w:val="16"/>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10</Pages>
  <Words>1727</Words>
  <Characters>9846</Characters>
  <Lines>82</Lines>
  <Paragraphs>23</Paragraphs>
  <TotalTime>2</TotalTime>
  <ScaleCrop>false</ScaleCrop>
  <LinksUpToDate>false</LinksUpToDate>
  <CharactersWithSpaces>11550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2024-04-08T15:31:54Z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3DE02747E95945BA9E75CB7C9FF17B32</vt:lpwstr>
  </property>
</Properties>
</file>